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9468" w:type="dxa"/>
        <w:tblLook w:val="0000" w:firstRow="0" w:lastRow="0" w:firstColumn="0" w:lastColumn="0" w:noHBand="0" w:noVBand="0"/>
      </w:tblPr>
      <w:tblGrid>
        <w:gridCol w:w="1638"/>
        <w:gridCol w:w="7830"/>
      </w:tblGrid>
      <w:tr w:rsidR="005526CB" w:rsidRPr="00342A2D" w14:paraId="4A77FA7E" w14:textId="77777777" w:rsidTr="00BD10ED">
        <w:trPr>
          <w:trHeight w:val="231"/>
        </w:trPr>
        <w:tc>
          <w:tcPr>
            <w:tcW w:w="1638" w:type="dxa"/>
          </w:tcPr>
          <w:p w14:paraId="7B914161" w14:textId="77777777" w:rsidR="005526CB" w:rsidRPr="00342A2D" w:rsidRDefault="005526CB" w:rsidP="00BD10ED">
            <w:pPr>
              <w:pStyle w:val="NormalforTable"/>
            </w:pPr>
            <w:r>
              <w:rPr>
                <w:b w:val="0"/>
                <w:bCs w:val="0"/>
              </w:rPr>
              <w:br w:type="page"/>
            </w:r>
            <w:bookmarkStart w:id="0" w:name="_Hlk196293729"/>
            <w:r w:rsidRPr="00342A2D">
              <w:t>Date:</w:t>
            </w:r>
          </w:p>
        </w:tc>
        <w:tc>
          <w:tcPr>
            <w:tcW w:w="7830" w:type="dxa"/>
          </w:tcPr>
          <w:p w14:paraId="0E861FA0" w14:textId="21F29F9A" w:rsidR="005526CB" w:rsidRPr="00E539FA" w:rsidRDefault="00E539FA" w:rsidP="00BD10ED">
            <w:pPr>
              <w:pStyle w:val="NormalforTable"/>
              <w:rPr>
                <w:b w:val="0"/>
                <w:bCs w:val="0"/>
              </w:rPr>
            </w:pPr>
            <w:r w:rsidRPr="00E539FA">
              <w:rPr>
                <w:b w:val="0"/>
                <w:bCs w:val="0"/>
              </w:rPr>
              <w:t>May 22, 2026</w:t>
            </w:r>
          </w:p>
        </w:tc>
      </w:tr>
      <w:tr w:rsidR="005526CB" w:rsidRPr="00342A2D" w14:paraId="38C49973" w14:textId="77777777" w:rsidTr="00BD10ED">
        <w:trPr>
          <w:trHeight w:val="72"/>
        </w:trPr>
        <w:tc>
          <w:tcPr>
            <w:tcW w:w="1638" w:type="dxa"/>
          </w:tcPr>
          <w:p w14:paraId="77D1848B" w14:textId="77777777" w:rsidR="005526CB" w:rsidRPr="00342A2D" w:rsidRDefault="005526CB" w:rsidP="00BD10ED">
            <w:pPr>
              <w:pStyle w:val="NormalforTable"/>
            </w:pPr>
            <w:r w:rsidRPr="00342A2D">
              <w:t>To:</w:t>
            </w:r>
          </w:p>
        </w:tc>
        <w:tc>
          <w:tcPr>
            <w:tcW w:w="7830" w:type="dxa"/>
          </w:tcPr>
          <w:p w14:paraId="3BD6C15B" w14:textId="77777777" w:rsidR="005526CB" w:rsidRPr="00342A2D" w:rsidRDefault="005526CB" w:rsidP="00BD10ED">
            <w:pPr>
              <w:pStyle w:val="NormalforTable"/>
              <w:rPr>
                <w:b w:val="0"/>
                <w:bCs w:val="0"/>
              </w:rPr>
            </w:pPr>
            <w:r w:rsidRPr="00342A2D">
              <w:rPr>
                <w:b w:val="0"/>
                <w:bCs w:val="0"/>
              </w:rPr>
              <w:t>Board of Directors</w:t>
            </w:r>
          </w:p>
        </w:tc>
      </w:tr>
      <w:tr w:rsidR="005526CB" w:rsidRPr="00342A2D" w14:paraId="17080BE1" w14:textId="77777777" w:rsidTr="00BD10ED">
        <w:trPr>
          <w:trHeight w:val="72"/>
        </w:trPr>
        <w:tc>
          <w:tcPr>
            <w:tcW w:w="1638" w:type="dxa"/>
          </w:tcPr>
          <w:p w14:paraId="693F9F00" w14:textId="77777777" w:rsidR="005526CB" w:rsidRPr="00342A2D" w:rsidRDefault="005526CB" w:rsidP="00BD10ED">
            <w:pPr>
              <w:pStyle w:val="NormalforTable"/>
            </w:pPr>
            <w:r w:rsidRPr="00342A2D">
              <w:t>From:</w:t>
            </w:r>
          </w:p>
        </w:tc>
        <w:tc>
          <w:tcPr>
            <w:tcW w:w="7830" w:type="dxa"/>
          </w:tcPr>
          <w:p w14:paraId="48C3B51E" w14:textId="16821F97" w:rsidR="005526CB" w:rsidRPr="00342A2D" w:rsidRDefault="00ED3559" w:rsidP="00BD10ED">
            <w:pPr>
              <w:pStyle w:val="NormalforTable"/>
            </w:pPr>
            <w:r w:rsidRPr="00341857">
              <w:rPr>
                <w:b w:val="0"/>
                <w:bCs w:val="0"/>
              </w:rPr>
              <w:t>Caitlin Smith, Technical Advisory Committee (TAC) Chair</w:t>
            </w:r>
          </w:p>
        </w:tc>
      </w:tr>
      <w:tr w:rsidR="005526CB" w:rsidRPr="00342A2D" w14:paraId="4E126EC7" w14:textId="77777777" w:rsidTr="00BD10ED">
        <w:trPr>
          <w:trHeight w:val="72"/>
        </w:trPr>
        <w:tc>
          <w:tcPr>
            <w:tcW w:w="1638" w:type="dxa"/>
          </w:tcPr>
          <w:p w14:paraId="2ABC7142" w14:textId="77777777" w:rsidR="005526CB" w:rsidRPr="00342A2D" w:rsidRDefault="005526CB" w:rsidP="00BD10ED">
            <w:pPr>
              <w:pStyle w:val="NormalforTable"/>
            </w:pPr>
            <w:r w:rsidRPr="00342A2D">
              <w:t>Subject:</w:t>
            </w:r>
          </w:p>
        </w:tc>
        <w:tc>
          <w:tcPr>
            <w:tcW w:w="7830" w:type="dxa"/>
          </w:tcPr>
          <w:p w14:paraId="1A51C580" w14:textId="7CDEFD96" w:rsidR="005526CB" w:rsidRPr="00342A2D" w:rsidRDefault="00872B98" w:rsidP="00BD10ED">
            <w:pPr>
              <w:pStyle w:val="NormalforTable"/>
            </w:pPr>
            <w:r w:rsidRPr="00872B98">
              <w:rPr>
                <w:b w:val="0"/>
                <w:bCs w:val="0"/>
              </w:rPr>
              <w:t>Non-Unanimous and Other Selected Revision Requests Recommended by TAC for Approval</w:t>
            </w:r>
          </w:p>
        </w:tc>
      </w:tr>
      <w:bookmarkEnd w:id="0"/>
    </w:tbl>
    <w:p w14:paraId="3430B9BC" w14:textId="77777777" w:rsidR="005526CB" w:rsidRPr="00780658" w:rsidRDefault="005526CB" w:rsidP="005526CB"/>
    <w:p w14:paraId="4C523B49" w14:textId="77777777" w:rsidR="005526CB" w:rsidRPr="003F5BB4" w:rsidRDefault="005526CB" w:rsidP="005526CB">
      <w:pPr>
        <w:pStyle w:val="Heading2"/>
        <w:jc w:val="center"/>
      </w:pPr>
      <w:r w:rsidRPr="003F5BB4">
        <w:t>Issue for the ERCOT Board of Directors</w:t>
      </w:r>
    </w:p>
    <w:p w14:paraId="09B93F22" w14:textId="77777777" w:rsidR="005526CB" w:rsidRPr="00780658" w:rsidRDefault="005526CB" w:rsidP="005526CB">
      <w:pPr>
        <w:pStyle w:val="BulletIndent"/>
      </w:pPr>
    </w:p>
    <w:tbl>
      <w:tblPr>
        <w:tblW w:w="0" w:type="auto"/>
        <w:tblLook w:val="0000" w:firstRow="0" w:lastRow="0" w:firstColumn="0" w:lastColumn="0" w:noHBand="0" w:noVBand="0"/>
      </w:tblPr>
      <w:tblGrid>
        <w:gridCol w:w="9468"/>
      </w:tblGrid>
      <w:tr w:rsidR="005526CB" w:rsidRPr="00780658" w14:paraId="50635A02" w14:textId="77777777" w:rsidTr="00BD10ED">
        <w:trPr>
          <w:trHeight w:val="540"/>
        </w:trPr>
        <w:tc>
          <w:tcPr>
            <w:tcW w:w="9468" w:type="dxa"/>
            <w:tcBorders>
              <w:bottom w:val="nil"/>
            </w:tcBorders>
          </w:tcPr>
          <w:p w14:paraId="22B7A623" w14:textId="3292F45A" w:rsidR="005526CB" w:rsidRPr="00342A2D" w:rsidRDefault="005526CB" w:rsidP="00ED5715">
            <w:pPr>
              <w:pStyle w:val="BulletIndent"/>
              <w:jc w:val="both"/>
              <w:rPr>
                <w:rFonts w:ascii="Arial" w:hAnsi="Arial" w:cs="Arial"/>
                <w:b/>
                <w:bCs/>
              </w:rPr>
            </w:pPr>
            <w:r w:rsidRPr="00342A2D">
              <w:rPr>
                <w:rFonts w:ascii="Arial" w:hAnsi="Arial" w:cs="Arial"/>
                <w:b/>
                <w:bCs/>
              </w:rPr>
              <w:t xml:space="preserve">ERCOT Board of Directors Meeting Date: </w:t>
            </w:r>
            <w:r w:rsidR="00E539FA" w:rsidRPr="00DA3DBA">
              <w:rPr>
                <w:rFonts w:ascii="Arial" w:hAnsi="Arial" w:cs="Arial"/>
              </w:rPr>
              <w:t>June 1 – 2, 2026</w:t>
            </w:r>
          </w:p>
          <w:p w14:paraId="7A6D5BB0" w14:textId="6ECFD418" w:rsidR="005526CB" w:rsidRPr="00780658" w:rsidRDefault="005526CB" w:rsidP="00ED5715">
            <w:pPr>
              <w:pStyle w:val="BulletIndent"/>
              <w:jc w:val="both"/>
              <w:rPr>
                <w:b/>
              </w:rPr>
            </w:pPr>
            <w:r w:rsidRPr="00342A2D">
              <w:rPr>
                <w:rFonts w:ascii="Arial" w:hAnsi="Arial" w:cs="Arial"/>
                <w:b/>
                <w:u w:val="single"/>
              </w:rPr>
              <w:t>Item No.:</w:t>
            </w:r>
            <w:r w:rsidRPr="00342A2D">
              <w:rPr>
                <w:rFonts w:ascii="Arial" w:hAnsi="Arial" w:cs="Arial"/>
              </w:rPr>
              <w:t xml:space="preserve"> </w:t>
            </w:r>
            <w:r w:rsidR="00872B98">
              <w:rPr>
                <w:rFonts w:ascii="Arial" w:hAnsi="Arial" w:cs="Arial"/>
              </w:rPr>
              <w:t>15.1</w:t>
            </w:r>
          </w:p>
        </w:tc>
      </w:tr>
    </w:tbl>
    <w:p w14:paraId="0E80EE4C" w14:textId="77777777" w:rsidR="005526CB" w:rsidRPr="00780658" w:rsidRDefault="005526CB" w:rsidP="00ED5715">
      <w:pPr>
        <w:jc w:val="both"/>
      </w:pPr>
    </w:p>
    <w:tbl>
      <w:tblPr>
        <w:tblStyle w:val="GridTable1Light-Accent2"/>
        <w:tblW w:w="0" w:type="auto"/>
        <w:tblLook w:val="0000" w:firstRow="0" w:lastRow="0" w:firstColumn="0" w:lastColumn="0" w:noHBand="0" w:noVBand="0"/>
      </w:tblPr>
      <w:tblGrid>
        <w:gridCol w:w="9468"/>
      </w:tblGrid>
      <w:tr w:rsidR="005526CB" w:rsidRPr="003F5BB4" w14:paraId="4FD8993C" w14:textId="77777777" w:rsidTr="00BD10ED">
        <w:trPr>
          <w:trHeight w:val="365"/>
        </w:trPr>
        <w:tc>
          <w:tcPr>
            <w:tcW w:w="9468" w:type="dxa"/>
          </w:tcPr>
          <w:p w14:paraId="03429ED9" w14:textId="56A21140" w:rsidR="005526CB" w:rsidRDefault="005526CB" w:rsidP="00872B98">
            <w:pPr>
              <w:pStyle w:val="NormalforTable"/>
              <w:jc w:val="both"/>
              <w:rPr>
                <w:b w:val="0"/>
                <w:bCs w:val="0"/>
              </w:rPr>
            </w:pPr>
            <w:r w:rsidRPr="003F5BB4">
              <w:t>Issue:</w:t>
            </w:r>
            <w:r>
              <w:t xml:space="preserve"> </w:t>
            </w:r>
            <w:r w:rsidR="00ED3559">
              <w:t xml:space="preserve"> </w:t>
            </w:r>
            <w:r w:rsidR="00ED3559" w:rsidRPr="00ED3559">
              <w:rPr>
                <w:b w:val="0"/>
                <w:bCs w:val="0"/>
              </w:rPr>
              <w:t xml:space="preserve">Consideration of </w:t>
            </w:r>
            <w:r w:rsidR="00741687">
              <w:rPr>
                <w:b w:val="0"/>
                <w:bCs w:val="0"/>
              </w:rPr>
              <w:t xml:space="preserve">the following Revision Requests: </w:t>
            </w:r>
            <w:r w:rsidR="00ED3559" w:rsidRPr="00ED3559">
              <w:rPr>
                <w:b w:val="0"/>
                <w:bCs w:val="0"/>
              </w:rPr>
              <w:t>Nodal Protocol Revision Request</w:t>
            </w:r>
            <w:r w:rsidR="00741687">
              <w:rPr>
                <w:b w:val="0"/>
                <w:bCs w:val="0"/>
              </w:rPr>
              <w:t>s (NPRRs)</w:t>
            </w:r>
            <w:r w:rsidR="00E964F4">
              <w:rPr>
                <w:b w:val="0"/>
                <w:bCs w:val="0"/>
              </w:rPr>
              <w:t xml:space="preserve"> and </w:t>
            </w:r>
            <w:r w:rsidR="00741687">
              <w:rPr>
                <w:b w:val="0"/>
                <w:bCs w:val="0"/>
              </w:rPr>
              <w:t>Nodal Operating Guide Revision Requests (NOGRRs)</w:t>
            </w:r>
            <w:r w:rsidR="00E964F4">
              <w:rPr>
                <w:b w:val="0"/>
                <w:bCs w:val="0"/>
              </w:rPr>
              <w:t xml:space="preserve"> </w:t>
            </w:r>
            <w:r w:rsidR="00ED3559" w:rsidRPr="00ED3559">
              <w:rPr>
                <w:b w:val="0"/>
                <w:bCs w:val="0"/>
              </w:rPr>
              <w:t>recommended for approval by TAC (with opposing votes recorded)</w:t>
            </w:r>
            <w:r w:rsidR="00A650DF">
              <w:rPr>
                <w:b w:val="0"/>
                <w:bCs w:val="0"/>
              </w:rPr>
              <w:t>:</w:t>
            </w:r>
          </w:p>
          <w:p w14:paraId="43FB9B8C" w14:textId="16B89BC8" w:rsidR="00AA1E2A" w:rsidRPr="00AA1E2A" w:rsidRDefault="00AA1E2A" w:rsidP="00872B98">
            <w:pPr>
              <w:pStyle w:val="NormalforTable"/>
              <w:numPr>
                <w:ilvl w:val="0"/>
                <w:numId w:val="25"/>
              </w:numPr>
              <w:jc w:val="both"/>
              <w:rPr>
                <w:b w:val="0"/>
                <w:bCs w:val="0"/>
              </w:rPr>
            </w:pPr>
            <w:r w:rsidRPr="00AA1E2A">
              <w:rPr>
                <w:b w:val="0"/>
                <w:bCs w:val="0"/>
              </w:rPr>
              <w:t xml:space="preserve">NPRR1308, Board Priority - Related to NOGRR282, Large Computational Load Ride-Through Requirements – URGENT </w:t>
            </w:r>
          </w:p>
          <w:p w14:paraId="355AD0D8" w14:textId="554A8934" w:rsidR="00AA1E2A" w:rsidRPr="00AA1E2A" w:rsidRDefault="00AA1E2A" w:rsidP="00872B98">
            <w:pPr>
              <w:pStyle w:val="NormalforTable"/>
              <w:numPr>
                <w:ilvl w:val="0"/>
                <w:numId w:val="25"/>
              </w:numPr>
              <w:jc w:val="both"/>
              <w:rPr>
                <w:b w:val="0"/>
                <w:bCs w:val="0"/>
              </w:rPr>
            </w:pPr>
            <w:r w:rsidRPr="00AA1E2A">
              <w:rPr>
                <w:b w:val="0"/>
                <w:bCs w:val="0"/>
              </w:rPr>
              <w:t xml:space="preserve">NPRR1309, </w:t>
            </w:r>
            <w:r w:rsidRPr="00AA1E2A">
              <w:rPr>
                <w:b w:val="0"/>
                <w:bCs w:val="0"/>
              </w:rPr>
              <w:tab/>
              <w:t xml:space="preserve">Board Priority - Dispatchable Reliability Reserve Service Ancillary Service – URGENT </w:t>
            </w:r>
          </w:p>
          <w:p w14:paraId="4CEE6F85" w14:textId="01878F7F" w:rsidR="00AA1E2A" w:rsidRDefault="00AA1E2A" w:rsidP="00872B98">
            <w:pPr>
              <w:pStyle w:val="NormalforTable"/>
              <w:numPr>
                <w:ilvl w:val="0"/>
                <w:numId w:val="25"/>
              </w:numPr>
              <w:jc w:val="both"/>
              <w:rPr>
                <w:b w:val="0"/>
                <w:bCs w:val="0"/>
              </w:rPr>
            </w:pPr>
            <w:r w:rsidRPr="00AA1E2A">
              <w:rPr>
                <w:b w:val="0"/>
                <w:bCs w:val="0"/>
              </w:rPr>
              <w:t xml:space="preserve">NPRR1315, </w:t>
            </w:r>
            <w:r w:rsidRPr="00AA1E2A">
              <w:rPr>
                <w:b w:val="0"/>
                <w:bCs w:val="0"/>
              </w:rPr>
              <w:tab/>
              <w:t xml:space="preserve">Changes to Process of Evaluating the Potential Needs for Additional Capacity and Mitigated Offer Cap – URGENT </w:t>
            </w:r>
          </w:p>
          <w:p w14:paraId="230FD3B5" w14:textId="17F393B1" w:rsidR="00AA1E2A" w:rsidRPr="00AA1E2A" w:rsidRDefault="00AA1E2A" w:rsidP="00872B98">
            <w:pPr>
              <w:pStyle w:val="NormalforTable"/>
              <w:numPr>
                <w:ilvl w:val="0"/>
                <w:numId w:val="25"/>
              </w:numPr>
              <w:jc w:val="both"/>
              <w:rPr>
                <w:b w:val="0"/>
                <w:bCs w:val="0"/>
              </w:rPr>
            </w:pPr>
            <w:r w:rsidRPr="00AA1E2A">
              <w:rPr>
                <w:b w:val="0"/>
                <w:bCs w:val="0"/>
              </w:rPr>
              <w:t xml:space="preserve">NOGRR282, Board Priority - Large Computational Load Ride-Through Requirements – URGENT </w:t>
            </w:r>
          </w:p>
          <w:p w14:paraId="5A5589AB" w14:textId="03AA9E1C" w:rsidR="00AA1E2A" w:rsidRDefault="00AA1E2A" w:rsidP="00872B98">
            <w:pPr>
              <w:pStyle w:val="NormalforTable"/>
              <w:numPr>
                <w:ilvl w:val="0"/>
                <w:numId w:val="25"/>
              </w:numPr>
              <w:jc w:val="both"/>
              <w:rPr>
                <w:b w:val="0"/>
                <w:bCs w:val="0"/>
              </w:rPr>
            </w:pPr>
            <w:r w:rsidRPr="00AA1E2A">
              <w:rPr>
                <w:b w:val="0"/>
                <w:bCs w:val="0"/>
              </w:rPr>
              <w:t xml:space="preserve">NOGRR283, Board Priority - Related to NPRR1309, Dispatchable Reliability Reserve Service Ancillary Service – URGENT </w:t>
            </w:r>
          </w:p>
          <w:p w14:paraId="2DD49804" w14:textId="77777777" w:rsidR="005526CB" w:rsidRPr="00342A2D" w:rsidRDefault="005526CB" w:rsidP="00872B98">
            <w:pPr>
              <w:pStyle w:val="NormalforTable"/>
              <w:ind w:left="720"/>
              <w:jc w:val="both"/>
              <w:rPr>
                <w:b w:val="0"/>
                <w:bCs w:val="0"/>
              </w:rPr>
            </w:pPr>
          </w:p>
        </w:tc>
      </w:tr>
      <w:tr w:rsidR="005526CB" w:rsidRPr="003F5BB4" w14:paraId="01A5A7A3" w14:textId="77777777" w:rsidTr="00BD10ED">
        <w:trPr>
          <w:trHeight w:val="214"/>
        </w:trPr>
        <w:tc>
          <w:tcPr>
            <w:tcW w:w="9468" w:type="dxa"/>
          </w:tcPr>
          <w:p w14:paraId="437B8417" w14:textId="77777777" w:rsidR="005526CB" w:rsidRDefault="005526CB" w:rsidP="00872B98">
            <w:pPr>
              <w:pStyle w:val="NormalforTable"/>
              <w:jc w:val="both"/>
            </w:pPr>
            <w:r w:rsidRPr="003F5BB4">
              <w:t>Background/History:</w:t>
            </w:r>
            <w:r>
              <w:t xml:space="preserve"> </w:t>
            </w:r>
          </w:p>
          <w:p w14:paraId="275BE433" w14:textId="1C5C7C4B" w:rsidR="00AA1E2A" w:rsidRDefault="00AA1E2A" w:rsidP="00872B98">
            <w:pPr>
              <w:pStyle w:val="NormalforTable"/>
              <w:spacing w:line="240" w:lineRule="auto"/>
              <w:jc w:val="both"/>
              <w:rPr>
                <w:b w:val="0"/>
                <w:bCs w:val="0"/>
              </w:rPr>
            </w:pPr>
            <w:r w:rsidRPr="005E449F">
              <w:rPr>
                <w:b w:val="0"/>
                <w:bCs w:val="0"/>
              </w:rPr>
              <w:t>Unless otherwise noted: (i) all Market Segments participated in each vote; (ii) for NPRRs, ERCOT Credit Staff and the Credit Finance Sub Group (CFSG) have reviewed the NPRR and do not believe it requires changes to credit monitoring activity or the calculation of liability. Board Review is required of all TAC Reports and Impact Analyses (Protocol Section 21.3.10)</w:t>
            </w:r>
            <w:r>
              <w:rPr>
                <w:b w:val="0"/>
                <w:bCs w:val="0"/>
              </w:rPr>
              <w:t>.</w:t>
            </w:r>
          </w:p>
          <w:p w14:paraId="132DB9A7" w14:textId="77777777" w:rsidR="00AA1E2A" w:rsidRDefault="00AA1E2A" w:rsidP="00872B98">
            <w:pPr>
              <w:pStyle w:val="NormalforTable"/>
              <w:spacing w:line="240" w:lineRule="auto"/>
              <w:jc w:val="both"/>
              <w:rPr>
                <w:b w:val="0"/>
                <w:bCs w:val="0"/>
              </w:rPr>
            </w:pPr>
          </w:p>
          <w:p w14:paraId="7B07321F" w14:textId="7FCD2564" w:rsidR="00AA1E2A" w:rsidRPr="00183ABB" w:rsidRDefault="00183ABB" w:rsidP="00872B98">
            <w:pPr>
              <w:pStyle w:val="ListParagraph"/>
              <w:numPr>
                <w:ilvl w:val="0"/>
                <w:numId w:val="26"/>
              </w:numPr>
              <w:spacing w:before="0" w:after="0" w:line="240" w:lineRule="auto"/>
              <w:ind w:left="360"/>
              <w:contextualSpacing w:val="0"/>
              <w:jc w:val="both"/>
              <w:rPr>
                <w:rStyle w:val="Hyperlink"/>
              </w:rPr>
            </w:pPr>
            <w:r>
              <w:rPr>
                <w:rFonts w:eastAsia="Arial"/>
                <w:b/>
                <w:bCs/>
                <w:i/>
                <w:iCs/>
              </w:rPr>
              <w:fldChar w:fldCharType="begin"/>
            </w:r>
            <w:r>
              <w:rPr>
                <w:rFonts w:eastAsia="Arial"/>
                <w:b/>
                <w:bCs/>
                <w:i/>
                <w:iCs/>
              </w:rPr>
              <w:instrText>HYPERLINK "https://www.ercot.com/mktrules/issues/NPRR1308"</w:instrText>
            </w:r>
            <w:r>
              <w:rPr>
                <w:rFonts w:eastAsia="Arial"/>
                <w:b/>
                <w:bCs/>
                <w:i/>
                <w:iCs/>
              </w:rPr>
            </w:r>
            <w:r>
              <w:rPr>
                <w:rFonts w:eastAsia="Arial"/>
                <w:b/>
                <w:bCs/>
                <w:i/>
                <w:iCs/>
              </w:rPr>
              <w:fldChar w:fldCharType="separate"/>
            </w:r>
            <w:r w:rsidR="00AA1E2A" w:rsidRPr="00183ABB">
              <w:rPr>
                <w:rStyle w:val="Hyperlink"/>
                <w:rFonts w:eastAsia="Arial"/>
                <w:b/>
                <w:bCs/>
                <w:i/>
                <w:iCs/>
              </w:rPr>
              <w:t>NPRR1308, Board Priority - Related to NOGRR282, Large Computational Load Ride-Through Requirements</w:t>
            </w:r>
            <w:r w:rsidRPr="00183ABB">
              <w:rPr>
                <w:rStyle w:val="Hyperlink"/>
                <w:rFonts w:eastAsia="Arial"/>
                <w:b/>
                <w:bCs/>
                <w:i/>
                <w:iCs/>
              </w:rPr>
              <w:t xml:space="preserve"> – URGENT </w:t>
            </w:r>
          </w:p>
          <w:p w14:paraId="5E1AD934" w14:textId="677D2849" w:rsidR="00AA1E2A" w:rsidRDefault="00183ABB" w:rsidP="00872B98">
            <w:pPr>
              <w:spacing w:before="0" w:after="0" w:line="240" w:lineRule="auto"/>
              <w:ind w:left="360"/>
              <w:jc w:val="both"/>
            </w:pPr>
            <w:r>
              <w:rPr>
                <w:rFonts w:eastAsia="Arial"/>
                <w:b/>
                <w:bCs/>
                <w:i/>
                <w:iCs/>
              </w:rPr>
              <w:fldChar w:fldCharType="end"/>
            </w:r>
            <w:r w:rsidR="00AA1E2A">
              <w:rPr>
                <w:rFonts w:eastAsia="Arial"/>
                <w:b/>
                <w:bCs/>
              </w:rPr>
              <w:t xml:space="preserve">Sponsor:  </w:t>
            </w:r>
            <w:r w:rsidR="00AA1E2A">
              <w:rPr>
                <w:rFonts w:eastAsia="Arial"/>
              </w:rPr>
              <w:t>ERCOT</w:t>
            </w:r>
          </w:p>
          <w:p w14:paraId="470B892A" w14:textId="77777777" w:rsidR="00AA1E2A" w:rsidRDefault="00AA1E2A" w:rsidP="00872B98">
            <w:pPr>
              <w:spacing w:before="0" w:after="0" w:line="240" w:lineRule="auto"/>
              <w:ind w:left="360"/>
              <w:jc w:val="both"/>
            </w:pPr>
            <w:r>
              <w:rPr>
                <w:rFonts w:eastAsia="Arial"/>
                <w:b/>
                <w:bCs/>
              </w:rPr>
              <w:t xml:space="preserve">Revision Description:  </w:t>
            </w:r>
            <w:r>
              <w:rPr>
                <w:rFonts w:eastAsia="Arial"/>
              </w:rPr>
              <w:t>This NPRR defines Large Computational Load (LCL).</w:t>
            </w:r>
          </w:p>
          <w:p w14:paraId="2099F1F7" w14:textId="5F9ED00F" w:rsidR="00AA1E2A" w:rsidRDefault="00AA1E2A" w:rsidP="00872B98">
            <w:pPr>
              <w:spacing w:before="0" w:after="0" w:line="240" w:lineRule="auto"/>
              <w:ind w:left="360"/>
              <w:jc w:val="both"/>
            </w:pPr>
            <w:hyperlink r:id="rId12" w:history="1">
              <w:r w:rsidRPr="007D6FFF">
                <w:rPr>
                  <w:rStyle w:val="Hyperlink"/>
                  <w:rFonts w:eastAsia="Arial"/>
                  <w:b/>
                  <w:bCs/>
                </w:rPr>
                <w:t>Impact Analysis</w:t>
              </w:r>
            </w:hyperlink>
            <w:r>
              <w:rPr>
                <w:rFonts w:eastAsia="Arial"/>
                <w:b/>
                <w:bCs/>
              </w:rPr>
              <w:t xml:space="preserve">:  </w:t>
            </w:r>
            <w:r w:rsidR="00183ABB">
              <w:rPr>
                <w:rFonts w:eastAsia="Arial"/>
              </w:rPr>
              <w:t xml:space="preserve">No impact </w:t>
            </w:r>
            <w:r w:rsidR="007D6FFF">
              <w:rPr>
                <w:rFonts w:eastAsia="Arial"/>
              </w:rPr>
              <w:t>(</w:t>
            </w:r>
            <w:r w:rsidR="007D6FFF" w:rsidRPr="00463E31">
              <w:rPr>
                <w:rFonts w:eastAsia="Arial"/>
              </w:rPr>
              <w:t xml:space="preserve">There are no additional impacts to this NPRR beyond what was captured in </w:t>
            </w:r>
            <w:r w:rsidR="004C2748">
              <w:rPr>
                <w:rFonts w:eastAsia="Arial"/>
              </w:rPr>
              <w:t xml:space="preserve">the Impact Analysis for </w:t>
            </w:r>
            <w:r w:rsidR="007D6FFF">
              <w:rPr>
                <w:rFonts w:eastAsia="Arial"/>
              </w:rPr>
              <w:t>NOGRR282</w:t>
            </w:r>
            <w:r w:rsidR="00A650DF">
              <w:rPr>
                <w:rFonts w:eastAsia="Arial"/>
              </w:rPr>
              <w:t>, Board Priority - Large Computational Load Ride-Through Requirements</w:t>
            </w:r>
            <w:r w:rsidR="007D6FFF">
              <w:rPr>
                <w:rFonts w:eastAsia="Arial"/>
              </w:rPr>
              <w:t>)</w:t>
            </w:r>
          </w:p>
          <w:p w14:paraId="4CE4652D" w14:textId="5456A31A" w:rsidR="00AA1E2A" w:rsidRDefault="00AA1E2A" w:rsidP="00872B98">
            <w:pPr>
              <w:spacing w:before="0" w:after="0" w:line="240" w:lineRule="auto"/>
              <w:ind w:left="360"/>
              <w:jc w:val="both"/>
            </w:pPr>
            <w:r>
              <w:rPr>
                <w:rFonts w:eastAsia="Arial"/>
                <w:b/>
                <w:bCs/>
              </w:rPr>
              <w:t xml:space="preserve">Proposed Effective Date:  </w:t>
            </w:r>
            <w:r>
              <w:rPr>
                <w:rFonts w:eastAsia="Arial"/>
              </w:rPr>
              <w:t xml:space="preserve">Upon system implementation of </w:t>
            </w:r>
            <w:r w:rsidR="00A650DF">
              <w:rPr>
                <w:rFonts w:eastAsia="Arial"/>
              </w:rPr>
              <w:t>NOGRR282</w:t>
            </w:r>
          </w:p>
          <w:p w14:paraId="710A3E05" w14:textId="3C8DE8C4" w:rsidR="00AA1E2A" w:rsidRDefault="00AA1E2A" w:rsidP="00872B98">
            <w:pPr>
              <w:spacing w:before="0" w:after="0" w:line="240" w:lineRule="auto"/>
              <w:ind w:left="360"/>
              <w:jc w:val="both"/>
            </w:pPr>
            <w:hyperlink r:id="rId13" w:history="1">
              <w:r w:rsidRPr="00046FF1">
                <w:rPr>
                  <w:rStyle w:val="Hyperlink"/>
                  <w:rFonts w:eastAsia="Arial"/>
                  <w:b/>
                  <w:bCs/>
                </w:rPr>
                <w:t>TAC Report</w:t>
              </w:r>
            </w:hyperlink>
            <w:r w:rsidRPr="00046FF1">
              <w:rPr>
                <w:rFonts w:eastAsia="Arial"/>
                <w:b/>
                <w:bCs/>
              </w:rPr>
              <w:t>/Decision</w:t>
            </w:r>
            <w:r>
              <w:rPr>
                <w:rFonts w:eastAsia="Arial"/>
                <w:b/>
                <w:bCs/>
              </w:rPr>
              <w:t xml:space="preserve">:  </w:t>
            </w:r>
            <w:r>
              <w:rPr>
                <w:rFonts w:eastAsia="Arial"/>
              </w:rPr>
              <w:t xml:space="preserve">On 4/29/26, TAC voted to recommend approval of NPRR1308 as recommended by PRS in the 4/15/26 PRS Report. There were two opposing votes from the Consumer (2) (Air Liquide, CMC Steel) Market Segment and four abstentions from the Consumer (City of Dallas), Cooperative (GSEC), Independent Generator (Vistra), and Independent Retail Electric Provider (IREP) (Demand Control 2) Market Segments. </w:t>
            </w:r>
          </w:p>
          <w:p w14:paraId="30FA3B61" w14:textId="77777777" w:rsidR="00AA1E2A" w:rsidRDefault="00AA1E2A" w:rsidP="00872B98">
            <w:pPr>
              <w:spacing w:before="0" w:after="0" w:line="240" w:lineRule="auto"/>
              <w:ind w:left="360"/>
              <w:jc w:val="both"/>
            </w:pPr>
            <w:r>
              <w:rPr>
                <w:rFonts w:eastAsia="Arial"/>
                <w:b/>
                <w:bCs/>
              </w:rPr>
              <w:t xml:space="preserve">ERCOT Opinion:  </w:t>
            </w:r>
            <w:r>
              <w:rPr>
                <w:rFonts w:eastAsia="Arial"/>
              </w:rPr>
              <w:t>ERCOT supports approval of NPRR1308.</w:t>
            </w:r>
          </w:p>
          <w:p w14:paraId="0AC4D1EE" w14:textId="77777777" w:rsidR="00AA1E2A" w:rsidRDefault="00AA1E2A" w:rsidP="00872B98">
            <w:pPr>
              <w:spacing w:before="0" w:after="0" w:line="240" w:lineRule="auto"/>
              <w:ind w:left="360"/>
              <w:jc w:val="both"/>
            </w:pPr>
            <w:r>
              <w:rPr>
                <w:rFonts w:eastAsia="Arial"/>
                <w:b/>
                <w:bCs/>
              </w:rPr>
              <w:t xml:space="preserve">ERCOT Market Impact Statement:  </w:t>
            </w:r>
            <w:r>
              <w:rPr>
                <w:rFonts w:eastAsia="Arial"/>
              </w:rPr>
              <w:t>ERCOT Staff has reviewed NPRR1308 and believes the market impact for NPRR1308, along with NOGRR282, provides necessary requirements to reduce the reliability risk posed by LCLs unexpectedly tripping or transferring to backup generation when frequency and voltage excursions within a specified range occur. Without these requirements, events involving LCL loss would increase in magnitude, potentially leading to system frequency and voltage instability.</w:t>
            </w:r>
          </w:p>
          <w:p w14:paraId="3BB65B32" w14:textId="77777777" w:rsidR="00AA1E2A" w:rsidRDefault="00AA1E2A" w:rsidP="00872B98">
            <w:pPr>
              <w:spacing w:before="0" w:after="0" w:line="240" w:lineRule="auto"/>
              <w:ind w:left="360"/>
              <w:jc w:val="both"/>
            </w:pPr>
            <w:r>
              <w:rPr>
                <w:rFonts w:eastAsia="Arial"/>
                <w:b/>
                <w:bCs/>
              </w:rPr>
              <w:t xml:space="preserve">Independent Market Monitor (IMM) Opinion:  </w:t>
            </w:r>
            <w:r>
              <w:rPr>
                <w:rFonts w:eastAsia="Arial"/>
              </w:rPr>
              <w:t>IMM has no opinion on NPRR1308.</w:t>
            </w:r>
          </w:p>
          <w:p w14:paraId="5DD56ECB" w14:textId="38159AFF" w:rsidR="00AA1E2A" w:rsidRDefault="00AA1E2A" w:rsidP="00872B98">
            <w:pPr>
              <w:spacing w:before="0" w:after="0" w:line="240" w:lineRule="auto"/>
              <w:ind w:left="360"/>
              <w:jc w:val="both"/>
            </w:pPr>
            <w:hyperlink r:id="rId14" w:anchor="keydocs" w:history="1">
              <w:r w:rsidRPr="007D6FFF">
                <w:rPr>
                  <w:rStyle w:val="Hyperlink"/>
                  <w:rFonts w:eastAsia="Arial"/>
                  <w:b/>
                  <w:bCs/>
                </w:rPr>
                <w:t>Key Documents</w:t>
              </w:r>
            </w:hyperlink>
            <w:r>
              <w:rPr>
                <w:rFonts w:eastAsia="Arial"/>
                <w:b/>
                <w:bCs/>
              </w:rPr>
              <w:t xml:space="preserve"> (including comments, ballots, reports and impact analyses)</w:t>
            </w:r>
          </w:p>
          <w:p w14:paraId="60085595" w14:textId="77777777" w:rsidR="00AA1E2A" w:rsidRDefault="00AA1E2A" w:rsidP="00872B98">
            <w:pPr>
              <w:spacing w:before="0" w:after="0" w:line="240" w:lineRule="auto"/>
              <w:jc w:val="both"/>
            </w:pPr>
          </w:p>
          <w:p w14:paraId="3AC82E4A" w14:textId="246F165D" w:rsidR="00AA1E2A" w:rsidRPr="00183ABB" w:rsidRDefault="00183ABB" w:rsidP="00872B98">
            <w:pPr>
              <w:pStyle w:val="ListParagraph"/>
              <w:numPr>
                <w:ilvl w:val="0"/>
                <w:numId w:val="26"/>
              </w:numPr>
              <w:spacing w:before="0" w:after="0" w:line="240" w:lineRule="auto"/>
              <w:ind w:left="360"/>
              <w:contextualSpacing w:val="0"/>
              <w:jc w:val="both"/>
              <w:rPr>
                <w:rStyle w:val="Hyperlink"/>
              </w:rPr>
            </w:pPr>
            <w:r>
              <w:rPr>
                <w:rFonts w:eastAsia="Arial"/>
                <w:b/>
                <w:bCs/>
                <w:i/>
                <w:iCs/>
              </w:rPr>
              <w:fldChar w:fldCharType="begin"/>
            </w:r>
            <w:r>
              <w:rPr>
                <w:rFonts w:eastAsia="Arial"/>
                <w:b/>
                <w:bCs/>
                <w:i/>
                <w:iCs/>
              </w:rPr>
              <w:instrText>HYPERLINK "https://www.ercot.com/mktrules/issues/NPRR1309"</w:instrText>
            </w:r>
            <w:r>
              <w:rPr>
                <w:rFonts w:eastAsia="Arial"/>
                <w:b/>
                <w:bCs/>
                <w:i/>
                <w:iCs/>
              </w:rPr>
            </w:r>
            <w:r>
              <w:rPr>
                <w:rFonts w:eastAsia="Arial"/>
                <w:b/>
                <w:bCs/>
                <w:i/>
                <w:iCs/>
              </w:rPr>
              <w:fldChar w:fldCharType="separate"/>
            </w:r>
            <w:r w:rsidR="00AA1E2A" w:rsidRPr="00183ABB">
              <w:rPr>
                <w:rStyle w:val="Hyperlink"/>
                <w:rFonts w:eastAsia="Arial"/>
                <w:b/>
                <w:bCs/>
                <w:i/>
                <w:iCs/>
              </w:rPr>
              <w:t>NPRR1309, Board Priority - Dispatchable Reliability Reserve Service Ancillary Service</w:t>
            </w:r>
            <w:r w:rsidRPr="00183ABB">
              <w:rPr>
                <w:rStyle w:val="Hyperlink"/>
                <w:rFonts w:eastAsia="Arial"/>
                <w:b/>
                <w:bCs/>
                <w:i/>
                <w:iCs/>
              </w:rPr>
              <w:t xml:space="preserve"> – URGENT </w:t>
            </w:r>
          </w:p>
          <w:p w14:paraId="2CA49BB5" w14:textId="3D964558" w:rsidR="00AA1E2A" w:rsidRDefault="00183ABB" w:rsidP="00872B98">
            <w:pPr>
              <w:spacing w:before="0" w:after="0" w:line="240" w:lineRule="auto"/>
              <w:ind w:left="360"/>
              <w:jc w:val="both"/>
            </w:pPr>
            <w:r>
              <w:rPr>
                <w:rFonts w:eastAsia="Arial"/>
                <w:b/>
                <w:bCs/>
                <w:i/>
                <w:iCs/>
              </w:rPr>
              <w:fldChar w:fldCharType="end"/>
            </w:r>
            <w:r w:rsidR="00AA1E2A">
              <w:rPr>
                <w:rFonts w:eastAsia="Arial"/>
                <w:b/>
                <w:bCs/>
              </w:rPr>
              <w:t xml:space="preserve">Sponsor:  </w:t>
            </w:r>
            <w:r w:rsidR="00AA1E2A">
              <w:rPr>
                <w:rFonts w:eastAsia="Arial"/>
              </w:rPr>
              <w:t>ERCOT</w:t>
            </w:r>
          </w:p>
          <w:p w14:paraId="41F64BE4" w14:textId="163D7936" w:rsidR="00AA1E2A" w:rsidRDefault="00AA1E2A" w:rsidP="00872B98">
            <w:pPr>
              <w:spacing w:before="0" w:after="0" w:line="240" w:lineRule="auto"/>
              <w:ind w:left="360"/>
              <w:jc w:val="both"/>
            </w:pPr>
            <w:r>
              <w:rPr>
                <w:rFonts w:eastAsia="Arial"/>
                <w:b/>
                <w:bCs/>
              </w:rPr>
              <w:t xml:space="preserve">Revision Description:  </w:t>
            </w:r>
            <w:r>
              <w:rPr>
                <w:rFonts w:eastAsia="Arial"/>
              </w:rPr>
              <w:t xml:space="preserve">This NPRR develops Dispatchable Reliability Reserve Service (DRRS) as a new Ancillary Service that includes the following functionality: DRRS is added to the Protocols on top of Real-Time Co-optimization (RTC) and Energy Storage Resource (ESR) single-model Protocols; DRRS is offered, awarded, and paid in both the Day-Ahead Market (DAM) and the Real-Time Market (RTM); DRRS can be self-arranged and traded; DRRS can be provided by eligible Off-Line and On-Line Generation Resources; and </w:t>
            </w:r>
            <w:r w:rsidR="00A650DF">
              <w:rPr>
                <w:rFonts w:eastAsia="Arial"/>
              </w:rPr>
              <w:t>Non-Spinning Reserve (</w:t>
            </w:r>
            <w:r>
              <w:rPr>
                <w:rFonts w:eastAsia="Arial"/>
              </w:rPr>
              <w:t>Non-Spin</w:t>
            </w:r>
            <w:r w:rsidR="00A650DF">
              <w:rPr>
                <w:rFonts w:eastAsia="Arial"/>
              </w:rPr>
              <w:t>)</w:t>
            </w:r>
            <w:r>
              <w:rPr>
                <w:rFonts w:eastAsia="Arial"/>
              </w:rPr>
              <w:t xml:space="preserve"> duration requirements are reduced from four hours to two hours.</w:t>
            </w:r>
          </w:p>
          <w:p w14:paraId="20CA3B34" w14:textId="3DF2C16E" w:rsidR="00AA1E2A" w:rsidRDefault="00AA1E2A" w:rsidP="00872B98">
            <w:pPr>
              <w:spacing w:before="0" w:after="0" w:line="240" w:lineRule="auto"/>
              <w:ind w:left="360"/>
              <w:jc w:val="both"/>
            </w:pPr>
            <w:hyperlink r:id="rId15" w:history="1">
              <w:r w:rsidRPr="007D6FFF">
                <w:rPr>
                  <w:rStyle w:val="Hyperlink"/>
                  <w:rFonts w:eastAsia="Arial"/>
                  <w:b/>
                  <w:bCs/>
                </w:rPr>
                <w:t>Impact Analysis</w:t>
              </w:r>
            </w:hyperlink>
            <w:r>
              <w:rPr>
                <w:rFonts w:eastAsia="Arial"/>
                <w:b/>
                <w:bCs/>
              </w:rPr>
              <w:t xml:space="preserve">:  </w:t>
            </w:r>
            <w:r>
              <w:rPr>
                <w:rFonts w:eastAsia="Arial"/>
              </w:rPr>
              <w:t>Between $3.0M and $5.0M</w:t>
            </w:r>
          </w:p>
          <w:p w14:paraId="094DF769" w14:textId="56AE2A4A" w:rsidR="00AA1E2A" w:rsidRDefault="00AA1E2A" w:rsidP="00872B98">
            <w:pPr>
              <w:spacing w:before="0" w:after="0" w:line="240" w:lineRule="auto"/>
              <w:ind w:left="360"/>
              <w:jc w:val="both"/>
            </w:pPr>
            <w:r>
              <w:rPr>
                <w:rFonts w:eastAsia="Arial"/>
                <w:b/>
                <w:bCs/>
              </w:rPr>
              <w:t xml:space="preserve">Proposed Effective Date:  </w:t>
            </w:r>
            <w:r>
              <w:rPr>
                <w:rFonts w:eastAsia="Arial"/>
              </w:rPr>
              <w:t>Upon system implementation</w:t>
            </w:r>
            <w:r w:rsidR="00A650DF">
              <w:rPr>
                <w:rFonts w:eastAsia="Arial"/>
              </w:rPr>
              <w:t xml:space="preserve"> – Priority 2026; Rank 440</w:t>
            </w:r>
          </w:p>
          <w:p w14:paraId="0F192F7E" w14:textId="09A6A3DC" w:rsidR="00AA1E2A" w:rsidRDefault="00AA1E2A" w:rsidP="00872B98">
            <w:pPr>
              <w:spacing w:before="0" w:after="0" w:line="240" w:lineRule="auto"/>
              <w:ind w:left="360"/>
              <w:jc w:val="both"/>
            </w:pPr>
            <w:hyperlink r:id="rId16" w:history="1">
              <w:r w:rsidRPr="00046FF1">
                <w:rPr>
                  <w:rStyle w:val="Hyperlink"/>
                  <w:rFonts w:eastAsia="Arial"/>
                  <w:b/>
                  <w:bCs/>
                </w:rPr>
                <w:t>TAC Report</w:t>
              </w:r>
            </w:hyperlink>
            <w:r w:rsidRPr="00046FF1">
              <w:rPr>
                <w:rFonts w:eastAsia="Arial"/>
                <w:b/>
                <w:bCs/>
              </w:rPr>
              <w:t>/Decision</w:t>
            </w:r>
            <w:r>
              <w:rPr>
                <w:rFonts w:eastAsia="Arial"/>
                <w:b/>
                <w:bCs/>
              </w:rPr>
              <w:t xml:space="preserve">:  </w:t>
            </w:r>
            <w:r>
              <w:rPr>
                <w:rFonts w:eastAsia="Arial"/>
              </w:rPr>
              <w:t xml:space="preserve">On 4/29/26, TAC voted to recommend approval of NPRR1309 as recommended by PRS in the 4/15/26 PRS Report as amended by the 4/28/26 ERCOT II comments. There were five opposing votes from the Cooperative (3) (LCRA, Brazos, STEC) and Independent Generator (2) (Vistra, Constellation) Market Segments and one abstention from the Cooperative (GSEC) Market Segment. </w:t>
            </w:r>
          </w:p>
          <w:p w14:paraId="543FBF07" w14:textId="77777777" w:rsidR="00AA1E2A" w:rsidRDefault="00AA1E2A" w:rsidP="00872B98">
            <w:pPr>
              <w:spacing w:before="0" w:after="0" w:line="240" w:lineRule="auto"/>
              <w:ind w:left="360"/>
              <w:jc w:val="both"/>
            </w:pPr>
            <w:r>
              <w:rPr>
                <w:rFonts w:eastAsia="Arial"/>
                <w:b/>
                <w:bCs/>
              </w:rPr>
              <w:t xml:space="preserve">ERCOT Opinion:  </w:t>
            </w:r>
            <w:r>
              <w:rPr>
                <w:rFonts w:eastAsia="Arial"/>
              </w:rPr>
              <w:t>ERCOT supports approval of NPRR1309.</w:t>
            </w:r>
          </w:p>
          <w:p w14:paraId="2C90499C" w14:textId="77777777" w:rsidR="00AA1E2A" w:rsidRDefault="00AA1E2A" w:rsidP="00872B98">
            <w:pPr>
              <w:spacing w:before="0" w:after="0" w:line="240" w:lineRule="auto"/>
              <w:ind w:left="360"/>
              <w:jc w:val="both"/>
            </w:pPr>
            <w:r>
              <w:rPr>
                <w:rFonts w:eastAsia="Arial"/>
                <w:b/>
                <w:bCs/>
              </w:rPr>
              <w:t xml:space="preserve">ERCOT Market Impact Statement:  </w:t>
            </w:r>
            <w:r>
              <w:rPr>
                <w:rFonts w:eastAsia="Arial"/>
              </w:rPr>
              <w:t xml:space="preserve">ERCOT Staff has reviewed NPRR1309 and believes the market impact for NPRR1309, along with NOGRR283, meets the </w:t>
            </w:r>
            <w:r>
              <w:rPr>
                <w:rFonts w:eastAsia="Arial"/>
              </w:rPr>
              <w:lastRenderedPageBreak/>
              <w:t>statutory obligation to create DRRS pursuant to Public Utility Regulatory Act § 39.159(d).</w:t>
            </w:r>
          </w:p>
          <w:p w14:paraId="3664A5E3" w14:textId="77777777" w:rsidR="00AA1E2A" w:rsidRDefault="00AA1E2A" w:rsidP="00872B98">
            <w:pPr>
              <w:spacing w:before="0" w:after="0" w:line="240" w:lineRule="auto"/>
              <w:ind w:left="360"/>
              <w:jc w:val="both"/>
            </w:pPr>
            <w:r>
              <w:rPr>
                <w:rFonts w:eastAsia="Arial"/>
                <w:b/>
                <w:bCs/>
              </w:rPr>
              <w:t xml:space="preserve">Independent Market Monitor (IMM) Opinion:  </w:t>
            </w:r>
            <w:r>
              <w:rPr>
                <w:rFonts w:eastAsia="Arial"/>
              </w:rPr>
              <w:t>IMM supports NPRR1309.</w:t>
            </w:r>
          </w:p>
          <w:p w14:paraId="4E3CC27E" w14:textId="3964E756" w:rsidR="00AA1E2A" w:rsidRDefault="00AA1E2A" w:rsidP="00872B98">
            <w:pPr>
              <w:spacing w:before="0" w:after="0" w:line="240" w:lineRule="auto"/>
              <w:ind w:left="360"/>
              <w:jc w:val="both"/>
              <w:rPr>
                <w:rFonts w:eastAsia="Arial"/>
                <w:b/>
                <w:bCs/>
              </w:rPr>
            </w:pPr>
            <w:hyperlink r:id="rId17" w:anchor="keydocs" w:history="1">
              <w:r w:rsidRPr="007D6FFF">
                <w:rPr>
                  <w:rStyle w:val="Hyperlink"/>
                  <w:rFonts w:eastAsia="Arial"/>
                  <w:b/>
                  <w:bCs/>
                </w:rPr>
                <w:t>Key Documents</w:t>
              </w:r>
            </w:hyperlink>
            <w:r>
              <w:rPr>
                <w:rFonts w:eastAsia="Arial"/>
                <w:b/>
                <w:bCs/>
              </w:rPr>
              <w:t xml:space="preserve"> (including comments, ballots, reports and impact analyses)</w:t>
            </w:r>
          </w:p>
          <w:p w14:paraId="7B07EC7C" w14:textId="77777777" w:rsidR="00CD0629" w:rsidRDefault="00CD0629" w:rsidP="00872B98">
            <w:pPr>
              <w:spacing w:before="0" w:after="0" w:line="240" w:lineRule="auto"/>
              <w:ind w:left="360"/>
              <w:jc w:val="both"/>
              <w:rPr>
                <w:rFonts w:eastAsia="Arial"/>
                <w:b/>
                <w:bCs/>
              </w:rPr>
            </w:pPr>
          </w:p>
          <w:p w14:paraId="34C3F59E" w14:textId="23F700B7" w:rsidR="00CD0629" w:rsidRPr="00865634" w:rsidRDefault="00CD0629" w:rsidP="00872B98">
            <w:pPr>
              <w:numPr>
                <w:ilvl w:val="0"/>
                <w:numId w:val="27"/>
              </w:numPr>
              <w:spacing w:before="0" w:after="0" w:line="240" w:lineRule="auto"/>
              <w:jc w:val="both"/>
              <w:rPr>
                <w:bCs/>
                <w:iCs/>
              </w:rPr>
            </w:pPr>
            <w:hyperlink r:id="rId18" w:history="1">
              <w:r w:rsidRPr="00183ABB">
                <w:rPr>
                  <w:rStyle w:val="Hyperlink"/>
                  <w:b/>
                  <w:i/>
                </w:rPr>
                <w:t>NPRR1315, Changes to Process of Evaluating the Potential Needs for Additional Capacity and Mitigated Offer Cap – URGENT</w:t>
              </w:r>
            </w:hyperlink>
          </w:p>
          <w:p w14:paraId="5CB27BCC" w14:textId="77777777" w:rsidR="00CD0629" w:rsidRPr="00322905" w:rsidRDefault="00CD0629" w:rsidP="00872B98">
            <w:pPr>
              <w:spacing w:before="0" w:after="0" w:line="240" w:lineRule="auto"/>
              <w:ind w:left="360"/>
              <w:jc w:val="both"/>
              <w:rPr>
                <w:bCs/>
                <w:iCs/>
              </w:rPr>
            </w:pPr>
            <w:r w:rsidRPr="00322905">
              <w:rPr>
                <w:b/>
                <w:iCs/>
              </w:rPr>
              <w:t xml:space="preserve">Sponsor:  </w:t>
            </w:r>
            <w:r>
              <w:rPr>
                <w:bCs/>
                <w:iCs/>
              </w:rPr>
              <w:t>ERCOT</w:t>
            </w:r>
          </w:p>
          <w:p w14:paraId="4644334D" w14:textId="181CE006" w:rsidR="00CD0629" w:rsidRDefault="00CD0629" w:rsidP="00872B98">
            <w:pPr>
              <w:spacing w:before="0" w:after="0" w:line="240" w:lineRule="auto"/>
              <w:ind w:left="360"/>
              <w:jc w:val="both"/>
            </w:pPr>
            <w:r w:rsidRPr="00322905">
              <w:rPr>
                <w:b/>
              </w:rPr>
              <w:t xml:space="preserve">Revision Description:  </w:t>
            </w:r>
            <w:r w:rsidRPr="00322905">
              <w:t xml:space="preserve">This </w:t>
            </w:r>
            <w:r>
              <w:t xml:space="preserve">NPRR </w:t>
            </w:r>
            <w:r w:rsidRPr="0014790E">
              <w:rPr>
                <w:bCs/>
              </w:rPr>
              <w:t xml:space="preserve">adds notification requirements for ERCOT to follow when ERCOT has determined that additional capacity is needed to prevent an imminent Emergency Condition or to restore the ERCOT Transmission Grid to a secure state in the event of an ERCOT Transmission Grid Emergency Condition.  Under the revisions, ERCOT would notify the </w:t>
            </w:r>
            <w:r w:rsidR="00E964F4">
              <w:rPr>
                <w:bCs/>
              </w:rPr>
              <w:t>Public Utility Commission of Texas (</w:t>
            </w:r>
            <w:r w:rsidRPr="0014790E">
              <w:rPr>
                <w:bCs/>
              </w:rPr>
              <w:t>PUCT</w:t>
            </w:r>
            <w:r w:rsidR="00E964F4">
              <w:rPr>
                <w:bCs/>
              </w:rPr>
              <w:t>)</w:t>
            </w:r>
            <w:r w:rsidRPr="0014790E">
              <w:rPr>
                <w:bCs/>
              </w:rPr>
              <w:t xml:space="preserve"> when it has made such a determination and would also notify the PUCT prior to entering into any contract for additional capacity. </w:t>
            </w:r>
            <w:r>
              <w:rPr>
                <w:bCs/>
              </w:rPr>
              <w:t xml:space="preserve"> </w:t>
            </w:r>
            <w:r w:rsidRPr="0014790E">
              <w:rPr>
                <w:bCs/>
              </w:rPr>
              <w:t xml:space="preserve">To address additional capacity that is needed to address local constraint issues, this NPRR also extends the study horizon for evaluating and potentially contracting for capacity to prevent anticipated Load shed events.  ERCOT proposes this study horizon extend up to two years instead of just the current or next Season.  </w:t>
            </w:r>
          </w:p>
          <w:p w14:paraId="4170E3EB" w14:textId="488B8C81" w:rsidR="00CD0629" w:rsidRPr="00322905" w:rsidRDefault="00CD0629" w:rsidP="00872B98">
            <w:pPr>
              <w:spacing w:before="0" w:after="0" w:line="240" w:lineRule="auto"/>
              <w:ind w:left="360"/>
              <w:jc w:val="both"/>
              <w:rPr>
                <w:i/>
              </w:rPr>
            </w:pPr>
            <w:hyperlink r:id="rId19" w:history="1">
              <w:r w:rsidRPr="001D3253">
                <w:rPr>
                  <w:rStyle w:val="Hyperlink"/>
                  <w:b/>
                </w:rPr>
                <w:t>Impact Analysis</w:t>
              </w:r>
            </w:hyperlink>
            <w:r w:rsidRPr="00322905">
              <w:rPr>
                <w:b/>
              </w:rPr>
              <w:t>:</w:t>
            </w:r>
            <w:r w:rsidRPr="00322905">
              <w:rPr>
                <w:bCs/>
              </w:rPr>
              <w:t xml:space="preserve">  </w:t>
            </w:r>
            <w:r>
              <w:rPr>
                <w:bCs/>
              </w:rPr>
              <w:t>Less than $5K O&amp;M</w:t>
            </w:r>
          </w:p>
          <w:p w14:paraId="22E48B22" w14:textId="21CF6CA2" w:rsidR="00CD0629" w:rsidRPr="00322905" w:rsidRDefault="00CD0629" w:rsidP="00872B98">
            <w:pPr>
              <w:spacing w:before="0" w:after="0" w:line="240" w:lineRule="auto"/>
              <w:ind w:left="360"/>
              <w:jc w:val="both"/>
            </w:pPr>
            <w:r w:rsidRPr="00322905">
              <w:rPr>
                <w:b/>
              </w:rPr>
              <w:t xml:space="preserve">Proposed Effective Date:  </w:t>
            </w:r>
            <w:r w:rsidRPr="00322905">
              <w:t xml:space="preserve">The </w:t>
            </w:r>
            <w:r w:rsidR="001D3253">
              <w:t>day</w:t>
            </w:r>
            <w:r w:rsidRPr="00322905">
              <w:t xml:space="preserve"> following PUCT</w:t>
            </w:r>
            <w:r>
              <w:t xml:space="preserve"> approval</w:t>
            </w:r>
          </w:p>
          <w:p w14:paraId="34BA6C3F" w14:textId="0A98C7CD" w:rsidR="00CD0629" w:rsidRDefault="00CD0629" w:rsidP="00872B98">
            <w:pPr>
              <w:spacing w:before="0" w:after="0" w:line="240" w:lineRule="auto"/>
              <w:ind w:left="360"/>
              <w:jc w:val="both"/>
              <w:rPr>
                <w:color w:val="000000"/>
              </w:rPr>
            </w:pPr>
            <w:hyperlink r:id="rId20" w:history="1">
              <w:r w:rsidRPr="001D3253">
                <w:rPr>
                  <w:rStyle w:val="Hyperlink"/>
                  <w:b/>
                </w:rPr>
                <w:t>TAC Report</w:t>
              </w:r>
            </w:hyperlink>
            <w:r>
              <w:rPr>
                <w:b/>
              </w:rPr>
              <w:t>/</w:t>
            </w:r>
            <w:r w:rsidRPr="00322905">
              <w:rPr>
                <w:b/>
              </w:rPr>
              <w:t>Decision:</w:t>
            </w:r>
            <w:r w:rsidRPr="00322905">
              <w:t xml:space="preserve"> </w:t>
            </w:r>
            <w:r>
              <w:t xml:space="preserve"> </w:t>
            </w:r>
            <w:r w:rsidR="001D3253">
              <w:t xml:space="preserve"> </w:t>
            </w:r>
            <w:r w:rsidR="001D3253" w:rsidRPr="001D3253">
              <w:t xml:space="preserve">On 5/13/26, TAC voted to recommend approval of NPRR1315 as recommended by PRS in the 5/6/26 PRS Report as revised by TAC and the 5/12/26 Revised Impact Analysis with a recommended effective date of the day </w:t>
            </w:r>
            <w:r w:rsidR="00FB0BAB">
              <w:t>following</w:t>
            </w:r>
            <w:r w:rsidR="001D3253" w:rsidRPr="001D3253">
              <w:t xml:space="preserve"> PUCT approval.  There was one opposing vote from the </w:t>
            </w:r>
            <w:r w:rsidR="00E964F4">
              <w:t>Independent Power Marketer (</w:t>
            </w:r>
            <w:r w:rsidR="001D3253" w:rsidRPr="001D3253">
              <w:t>IPM</w:t>
            </w:r>
            <w:r w:rsidR="00E964F4">
              <w:t>)</w:t>
            </w:r>
            <w:r w:rsidR="001D3253" w:rsidRPr="001D3253">
              <w:t xml:space="preserve"> (SENA) Market Segment and five abstentions from the Cooperative (4) (LCRA, Brazos, STEC, GSEC) and IPM (Morgan Stanley) Market Segments.  </w:t>
            </w:r>
          </w:p>
          <w:p w14:paraId="2C1C13A6" w14:textId="534D4D4C" w:rsidR="00CD0629" w:rsidRDefault="00CD0629" w:rsidP="00872B98">
            <w:pPr>
              <w:spacing w:before="0" w:after="0" w:line="240" w:lineRule="auto"/>
              <w:ind w:left="360"/>
              <w:jc w:val="both"/>
            </w:pPr>
            <w:r>
              <w:rPr>
                <w:rFonts w:eastAsia="Arial"/>
                <w:b/>
                <w:bCs/>
              </w:rPr>
              <w:t xml:space="preserve">ERCOT Opinion:  </w:t>
            </w:r>
            <w:r>
              <w:rPr>
                <w:rFonts w:eastAsia="Arial"/>
              </w:rPr>
              <w:t>ERCOT supports approval of NPRR1315.</w:t>
            </w:r>
          </w:p>
          <w:p w14:paraId="4C2AA1AB" w14:textId="0172D1B9" w:rsidR="00CD0629" w:rsidRDefault="00CD0629" w:rsidP="00872B98">
            <w:pPr>
              <w:spacing w:before="0" w:after="0" w:line="240" w:lineRule="auto"/>
              <w:ind w:left="360"/>
              <w:jc w:val="both"/>
            </w:pPr>
            <w:r>
              <w:rPr>
                <w:rFonts w:eastAsia="Arial"/>
                <w:b/>
                <w:bCs/>
              </w:rPr>
              <w:t xml:space="preserve">ERCOT Market Impact Statement:  </w:t>
            </w:r>
            <w:r w:rsidRPr="00CD0629">
              <w:rPr>
                <w:rFonts w:eastAsia="Arial"/>
              </w:rPr>
              <w:t>ERCOT Staff has reviewed NPRR1315</w:t>
            </w:r>
            <w:r>
              <w:rPr>
                <w:rFonts w:eastAsia="Arial"/>
              </w:rPr>
              <w:t xml:space="preserve"> </w:t>
            </w:r>
            <w:r w:rsidRPr="00CD0629">
              <w:rPr>
                <w:rFonts w:eastAsia="Arial"/>
              </w:rPr>
              <w:t>and believes that it provides a positive market impact and improves processes by adding notification and more detailed procedure requirements for ERCOT to follow when ERCOT has determined that additional capacity is needed to prevent an imminent Emergency Condition or to restore the ERCOT Transmission Grid to a secure state in the event of an ERCOT Transmission Grid Emergency Condition</w:t>
            </w:r>
            <w:r>
              <w:rPr>
                <w:rFonts w:eastAsia="Arial"/>
              </w:rPr>
              <w:t>.</w:t>
            </w:r>
          </w:p>
          <w:p w14:paraId="1A88F936" w14:textId="5042D562" w:rsidR="00CD0629" w:rsidRDefault="00CD0629" w:rsidP="00872B98">
            <w:pPr>
              <w:spacing w:before="0" w:after="0" w:line="240" w:lineRule="auto"/>
              <w:ind w:left="360"/>
              <w:jc w:val="both"/>
            </w:pPr>
            <w:r>
              <w:rPr>
                <w:rFonts w:eastAsia="Arial"/>
                <w:b/>
                <w:bCs/>
              </w:rPr>
              <w:t xml:space="preserve">Independent Market Monitor (IMM) Opinion:  </w:t>
            </w:r>
            <w:r>
              <w:rPr>
                <w:rFonts w:eastAsia="Arial"/>
              </w:rPr>
              <w:t>IMM opposes NPRR1315.</w:t>
            </w:r>
          </w:p>
          <w:p w14:paraId="58EAB0C2" w14:textId="60331934" w:rsidR="00C16C71" w:rsidRDefault="00CD0629" w:rsidP="00872B98">
            <w:pPr>
              <w:spacing w:before="0" w:after="0" w:line="240" w:lineRule="auto"/>
              <w:ind w:left="360"/>
              <w:jc w:val="both"/>
              <w:rPr>
                <w:rFonts w:eastAsia="Arial"/>
                <w:b/>
                <w:bCs/>
              </w:rPr>
            </w:pPr>
            <w:hyperlink r:id="rId21" w:anchor="keydocs" w:history="1">
              <w:r w:rsidRPr="007D6FFF">
                <w:rPr>
                  <w:rStyle w:val="Hyperlink"/>
                  <w:rFonts w:eastAsia="Arial"/>
                  <w:b/>
                  <w:bCs/>
                </w:rPr>
                <w:t>Key Documents</w:t>
              </w:r>
            </w:hyperlink>
            <w:r>
              <w:rPr>
                <w:rFonts w:eastAsia="Arial"/>
                <w:b/>
                <w:bCs/>
              </w:rPr>
              <w:t xml:space="preserve"> (including comments, ballots, reports and impact analyses)</w:t>
            </w:r>
          </w:p>
          <w:p w14:paraId="0BFE2B20" w14:textId="77777777" w:rsidR="00AA1E2A" w:rsidRDefault="00AA1E2A" w:rsidP="00872B98">
            <w:pPr>
              <w:spacing w:before="0" w:after="0" w:line="240" w:lineRule="auto"/>
              <w:jc w:val="both"/>
            </w:pPr>
          </w:p>
          <w:p w14:paraId="4224E898" w14:textId="0FACD819" w:rsidR="00AA1E2A" w:rsidRPr="00183ABB" w:rsidRDefault="00183ABB" w:rsidP="00872B98">
            <w:pPr>
              <w:pStyle w:val="ListParagraph"/>
              <w:numPr>
                <w:ilvl w:val="0"/>
                <w:numId w:val="26"/>
              </w:numPr>
              <w:spacing w:before="0" w:after="0" w:line="240" w:lineRule="auto"/>
              <w:ind w:left="360"/>
              <w:contextualSpacing w:val="0"/>
              <w:jc w:val="both"/>
              <w:rPr>
                <w:rStyle w:val="Hyperlink"/>
              </w:rPr>
            </w:pPr>
            <w:r>
              <w:rPr>
                <w:rFonts w:eastAsia="Arial"/>
                <w:b/>
                <w:bCs/>
                <w:i/>
                <w:iCs/>
              </w:rPr>
              <w:fldChar w:fldCharType="begin"/>
            </w:r>
            <w:r>
              <w:rPr>
                <w:rFonts w:eastAsia="Arial"/>
                <w:b/>
                <w:bCs/>
                <w:i/>
                <w:iCs/>
              </w:rPr>
              <w:instrText>HYPERLINK "https://www.ercot.com/mktrules/issues/NOGRR282"</w:instrText>
            </w:r>
            <w:r>
              <w:rPr>
                <w:rFonts w:eastAsia="Arial"/>
                <w:b/>
                <w:bCs/>
                <w:i/>
                <w:iCs/>
              </w:rPr>
            </w:r>
            <w:r>
              <w:rPr>
                <w:rFonts w:eastAsia="Arial"/>
                <w:b/>
                <w:bCs/>
                <w:i/>
                <w:iCs/>
              </w:rPr>
              <w:fldChar w:fldCharType="separate"/>
            </w:r>
            <w:r w:rsidR="00AA1E2A" w:rsidRPr="00183ABB">
              <w:rPr>
                <w:rStyle w:val="Hyperlink"/>
                <w:rFonts w:eastAsia="Arial"/>
                <w:b/>
                <w:bCs/>
                <w:i/>
                <w:iCs/>
              </w:rPr>
              <w:t>NOGRR282, Board Priority - Large Computational Load Ride-Through Requirements</w:t>
            </w:r>
            <w:r w:rsidRPr="00183ABB">
              <w:rPr>
                <w:rStyle w:val="Hyperlink"/>
                <w:rFonts w:eastAsia="Arial"/>
                <w:b/>
                <w:bCs/>
                <w:i/>
                <w:iCs/>
              </w:rPr>
              <w:t xml:space="preserve"> – URGENT </w:t>
            </w:r>
          </w:p>
          <w:p w14:paraId="1CFBDBCC" w14:textId="16022C63" w:rsidR="00AA1E2A" w:rsidRDefault="00183ABB" w:rsidP="00872B98">
            <w:pPr>
              <w:spacing w:before="0" w:after="0" w:line="240" w:lineRule="auto"/>
              <w:ind w:left="360"/>
              <w:jc w:val="both"/>
            </w:pPr>
            <w:r>
              <w:rPr>
                <w:rFonts w:eastAsia="Arial"/>
                <w:b/>
                <w:bCs/>
                <w:i/>
                <w:iCs/>
              </w:rPr>
              <w:fldChar w:fldCharType="end"/>
            </w:r>
            <w:r w:rsidR="00AA1E2A">
              <w:rPr>
                <w:rFonts w:eastAsia="Arial"/>
                <w:b/>
                <w:bCs/>
              </w:rPr>
              <w:t xml:space="preserve">Sponsor:  </w:t>
            </w:r>
            <w:r w:rsidR="00AA1E2A">
              <w:rPr>
                <w:rFonts w:eastAsia="Arial"/>
              </w:rPr>
              <w:t>ERCOT</w:t>
            </w:r>
          </w:p>
          <w:p w14:paraId="052BED04" w14:textId="3900B18F" w:rsidR="00AA1E2A" w:rsidRDefault="00AA1E2A" w:rsidP="00872B98">
            <w:pPr>
              <w:spacing w:before="0" w:after="0" w:line="240" w:lineRule="auto"/>
              <w:ind w:left="360"/>
              <w:jc w:val="both"/>
            </w:pPr>
            <w:r>
              <w:rPr>
                <w:rFonts w:eastAsia="Arial"/>
                <w:b/>
                <w:bCs/>
              </w:rPr>
              <w:t xml:space="preserve">Revision Description:  </w:t>
            </w:r>
            <w:r>
              <w:rPr>
                <w:rFonts w:eastAsia="Arial"/>
              </w:rPr>
              <w:t>This NOGRR establishes frequency and voltage ride-through requirements for LCLs.</w:t>
            </w:r>
          </w:p>
          <w:p w14:paraId="01306602" w14:textId="2E5E5E28" w:rsidR="00AA1E2A" w:rsidRDefault="00AA1E2A" w:rsidP="00872B98">
            <w:pPr>
              <w:spacing w:before="0" w:after="0" w:line="240" w:lineRule="auto"/>
              <w:ind w:left="360"/>
              <w:jc w:val="both"/>
            </w:pPr>
            <w:hyperlink r:id="rId22" w:history="1">
              <w:r w:rsidRPr="007D6FFF">
                <w:rPr>
                  <w:rStyle w:val="Hyperlink"/>
                  <w:rFonts w:eastAsia="Arial"/>
                  <w:b/>
                  <w:bCs/>
                </w:rPr>
                <w:t>Impact Analysis</w:t>
              </w:r>
            </w:hyperlink>
            <w:r>
              <w:rPr>
                <w:rFonts w:eastAsia="Arial"/>
                <w:b/>
                <w:bCs/>
              </w:rPr>
              <w:t xml:space="preserve">:  </w:t>
            </w:r>
            <w:r>
              <w:rPr>
                <w:rFonts w:eastAsia="Arial"/>
              </w:rPr>
              <w:t>Annual Recurring O&amp;M Staffing Cost: $600K – $750K</w:t>
            </w:r>
          </w:p>
          <w:p w14:paraId="38C60D01" w14:textId="4549C9B9" w:rsidR="00AA1E2A" w:rsidRDefault="00AA1E2A" w:rsidP="00872B98">
            <w:pPr>
              <w:spacing w:before="0" w:after="0" w:line="240" w:lineRule="auto"/>
              <w:ind w:left="360"/>
              <w:jc w:val="both"/>
            </w:pPr>
            <w:r>
              <w:rPr>
                <w:rFonts w:eastAsia="Arial"/>
                <w:b/>
                <w:bCs/>
              </w:rPr>
              <w:lastRenderedPageBreak/>
              <w:t xml:space="preserve">Proposed Effective Date:  </w:t>
            </w:r>
            <w:r>
              <w:rPr>
                <w:rFonts w:eastAsia="Arial"/>
              </w:rPr>
              <w:t xml:space="preserve">The first of the month following </w:t>
            </w:r>
            <w:r w:rsidR="00F80B70">
              <w:rPr>
                <w:rFonts w:eastAsia="Arial"/>
              </w:rPr>
              <w:t xml:space="preserve">PUCT </w:t>
            </w:r>
            <w:r>
              <w:rPr>
                <w:rFonts w:eastAsia="Arial"/>
              </w:rPr>
              <w:t>approval</w:t>
            </w:r>
          </w:p>
          <w:p w14:paraId="20EDB4A3" w14:textId="55E35D59" w:rsidR="00AA1E2A" w:rsidRDefault="00AA1E2A" w:rsidP="00872B98">
            <w:pPr>
              <w:spacing w:before="0" w:after="0" w:line="240" w:lineRule="auto"/>
              <w:ind w:left="360"/>
              <w:jc w:val="both"/>
            </w:pPr>
            <w:hyperlink r:id="rId23" w:history="1">
              <w:r w:rsidRPr="004C2748">
                <w:rPr>
                  <w:rStyle w:val="Hyperlink"/>
                  <w:rFonts w:eastAsia="Arial"/>
                  <w:b/>
                  <w:bCs/>
                </w:rPr>
                <w:t>TAC Report</w:t>
              </w:r>
            </w:hyperlink>
            <w:r w:rsidRPr="004C2748">
              <w:rPr>
                <w:rFonts w:eastAsia="Arial"/>
                <w:b/>
                <w:bCs/>
              </w:rPr>
              <w:t>/Decision</w:t>
            </w:r>
            <w:r>
              <w:rPr>
                <w:rFonts w:eastAsia="Arial"/>
                <w:b/>
                <w:bCs/>
              </w:rPr>
              <w:t xml:space="preserve">:  </w:t>
            </w:r>
            <w:r>
              <w:rPr>
                <w:rFonts w:eastAsia="Arial"/>
              </w:rPr>
              <w:t xml:space="preserve">On 4/29/26, TAC voted to recommend approval of NOGRR282 as recommended by ROS in the 4/2/26 ROS Report as amended by the 4/13/26 ERCOT comments; and the 4/14/26 Revised Impact Analysis. There were two opposing votes from the Consumer (2) (Air Liquide, CMC Steel) Market Segment and four abstentions from the Consumer (City of Dallas), Cooperative (GSEC), Independent Generator (Vistra), and IREP (Demand Control 2) Market Segments. </w:t>
            </w:r>
          </w:p>
          <w:p w14:paraId="5A3784EA" w14:textId="77777777" w:rsidR="00AA1E2A" w:rsidRDefault="00AA1E2A" w:rsidP="00872B98">
            <w:pPr>
              <w:spacing w:before="0" w:after="0" w:line="240" w:lineRule="auto"/>
              <w:ind w:left="360"/>
              <w:jc w:val="both"/>
            </w:pPr>
            <w:r>
              <w:rPr>
                <w:rFonts w:eastAsia="Arial"/>
                <w:b/>
                <w:bCs/>
              </w:rPr>
              <w:t xml:space="preserve">ERCOT Opinion:  </w:t>
            </w:r>
            <w:r>
              <w:rPr>
                <w:rFonts w:eastAsia="Arial"/>
              </w:rPr>
              <w:t>ERCOT supports approval of NOGRR282.</w:t>
            </w:r>
          </w:p>
          <w:p w14:paraId="1EF2EB96" w14:textId="77777777" w:rsidR="00AA1E2A" w:rsidRDefault="00AA1E2A" w:rsidP="00872B98">
            <w:pPr>
              <w:spacing w:before="0" w:after="0" w:line="240" w:lineRule="auto"/>
              <w:ind w:left="360"/>
              <w:jc w:val="both"/>
            </w:pPr>
            <w:r>
              <w:rPr>
                <w:rFonts w:eastAsia="Arial"/>
                <w:b/>
                <w:bCs/>
              </w:rPr>
              <w:t xml:space="preserve">ERCOT Market Impact Statement:  </w:t>
            </w:r>
            <w:r>
              <w:rPr>
                <w:rFonts w:eastAsia="Arial"/>
              </w:rPr>
              <w:t>ERCOT Staff has reviewed NOGRR282 and believes the market impact for NOGRR282 provides necessary requirements to reduce the reliability risk posed by LCLs unexpectedly tripping or transferring to backup generation when frequency and voltage excursions within a specified range occur. Without these requirements, events involving LCL loss would increase in magnitude, potentially leading to system frequency and voltage instability.</w:t>
            </w:r>
          </w:p>
          <w:p w14:paraId="6844A684" w14:textId="77777777" w:rsidR="00AA1E2A" w:rsidRDefault="00AA1E2A" w:rsidP="00872B98">
            <w:pPr>
              <w:spacing w:before="0" w:after="0" w:line="240" w:lineRule="auto"/>
              <w:ind w:left="360"/>
              <w:jc w:val="both"/>
            </w:pPr>
            <w:r>
              <w:rPr>
                <w:rFonts w:eastAsia="Arial"/>
                <w:b/>
                <w:bCs/>
              </w:rPr>
              <w:t xml:space="preserve">Independent Market Monitor (IMM) Opinion:  </w:t>
            </w:r>
            <w:r>
              <w:rPr>
                <w:rFonts w:eastAsia="Arial"/>
              </w:rPr>
              <w:t>IMM has no opinion on NOGRR282.</w:t>
            </w:r>
          </w:p>
          <w:p w14:paraId="2CB50BAB" w14:textId="678F24D5" w:rsidR="00AA1E2A" w:rsidRDefault="00AA1E2A" w:rsidP="00872B98">
            <w:pPr>
              <w:spacing w:before="0" w:after="0" w:line="240" w:lineRule="auto"/>
              <w:ind w:left="360"/>
              <w:jc w:val="both"/>
            </w:pPr>
            <w:hyperlink r:id="rId24" w:anchor="keydocs" w:history="1">
              <w:r w:rsidRPr="007D6FFF">
                <w:rPr>
                  <w:rStyle w:val="Hyperlink"/>
                  <w:rFonts w:eastAsia="Arial"/>
                  <w:b/>
                  <w:bCs/>
                </w:rPr>
                <w:t>Key Documents</w:t>
              </w:r>
            </w:hyperlink>
            <w:r>
              <w:rPr>
                <w:rFonts w:eastAsia="Arial"/>
                <w:b/>
                <w:bCs/>
              </w:rPr>
              <w:t xml:space="preserve"> (including comments, ballots, reports and impact analyses)</w:t>
            </w:r>
          </w:p>
          <w:p w14:paraId="388D604F" w14:textId="77777777" w:rsidR="00AA1E2A" w:rsidRDefault="00AA1E2A" w:rsidP="00872B98">
            <w:pPr>
              <w:spacing w:before="0" w:after="0" w:line="240" w:lineRule="auto"/>
              <w:jc w:val="both"/>
            </w:pPr>
          </w:p>
          <w:p w14:paraId="22B49197" w14:textId="4D96648F" w:rsidR="00AA1E2A" w:rsidRPr="00183ABB" w:rsidRDefault="00183ABB" w:rsidP="00872B98">
            <w:pPr>
              <w:pStyle w:val="ListParagraph"/>
              <w:numPr>
                <w:ilvl w:val="0"/>
                <w:numId w:val="26"/>
              </w:numPr>
              <w:spacing w:before="0" w:after="0" w:line="240" w:lineRule="auto"/>
              <w:ind w:left="360"/>
              <w:contextualSpacing w:val="0"/>
              <w:jc w:val="both"/>
              <w:rPr>
                <w:rStyle w:val="Hyperlink"/>
              </w:rPr>
            </w:pPr>
            <w:r>
              <w:rPr>
                <w:rFonts w:eastAsia="Arial"/>
                <w:b/>
                <w:bCs/>
                <w:i/>
                <w:iCs/>
              </w:rPr>
              <w:fldChar w:fldCharType="begin"/>
            </w:r>
            <w:r>
              <w:rPr>
                <w:rFonts w:eastAsia="Arial"/>
                <w:b/>
                <w:bCs/>
                <w:i/>
                <w:iCs/>
              </w:rPr>
              <w:instrText>HYPERLINK "https://www.ercot.com/mktrules/issues/NOGRR283"</w:instrText>
            </w:r>
            <w:r>
              <w:rPr>
                <w:rFonts w:eastAsia="Arial"/>
                <w:b/>
                <w:bCs/>
                <w:i/>
                <w:iCs/>
              </w:rPr>
            </w:r>
            <w:r>
              <w:rPr>
                <w:rFonts w:eastAsia="Arial"/>
                <w:b/>
                <w:bCs/>
                <w:i/>
                <w:iCs/>
              </w:rPr>
              <w:fldChar w:fldCharType="separate"/>
            </w:r>
            <w:r w:rsidR="00AA1E2A" w:rsidRPr="00183ABB">
              <w:rPr>
                <w:rStyle w:val="Hyperlink"/>
                <w:rFonts w:eastAsia="Arial"/>
                <w:b/>
                <w:bCs/>
                <w:i/>
                <w:iCs/>
              </w:rPr>
              <w:t>NOGRR283, Board Priority - Related to NPRR1309, Dispatchable Reliability Reserve Service Ancillary Service</w:t>
            </w:r>
            <w:r w:rsidRPr="00183ABB">
              <w:rPr>
                <w:rStyle w:val="Hyperlink"/>
                <w:rFonts w:eastAsia="Arial"/>
                <w:b/>
                <w:bCs/>
                <w:i/>
                <w:iCs/>
              </w:rPr>
              <w:t xml:space="preserve"> – URGENT </w:t>
            </w:r>
          </w:p>
          <w:p w14:paraId="04420E00" w14:textId="16843624" w:rsidR="00AA1E2A" w:rsidRDefault="00183ABB" w:rsidP="00872B98">
            <w:pPr>
              <w:spacing w:before="0" w:after="0" w:line="240" w:lineRule="auto"/>
              <w:ind w:left="360"/>
              <w:jc w:val="both"/>
            </w:pPr>
            <w:r>
              <w:rPr>
                <w:rFonts w:eastAsia="Arial"/>
                <w:b/>
                <w:bCs/>
                <w:i/>
                <w:iCs/>
              </w:rPr>
              <w:fldChar w:fldCharType="end"/>
            </w:r>
            <w:r w:rsidR="00AA1E2A">
              <w:rPr>
                <w:rFonts w:eastAsia="Arial"/>
                <w:b/>
                <w:bCs/>
              </w:rPr>
              <w:t xml:space="preserve">Sponsor:  </w:t>
            </w:r>
            <w:r w:rsidR="00AA1E2A">
              <w:rPr>
                <w:rFonts w:eastAsia="Arial"/>
              </w:rPr>
              <w:t>ERCOT</w:t>
            </w:r>
          </w:p>
          <w:p w14:paraId="751FB5B1" w14:textId="5B6014AC" w:rsidR="00AA1E2A" w:rsidRDefault="00AA1E2A" w:rsidP="00872B98">
            <w:pPr>
              <w:spacing w:before="0" w:after="0" w:line="240" w:lineRule="auto"/>
              <w:ind w:left="360"/>
              <w:jc w:val="both"/>
            </w:pPr>
            <w:r>
              <w:rPr>
                <w:rFonts w:eastAsia="Arial"/>
                <w:b/>
                <w:bCs/>
              </w:rPr>
              <w:t xml:space="preserve">Revision Description:  </w:t>
            </w:r>
            <w:r>
              <w:rPr>
                <w:rFonts w:eastAsia="Arial"/>
              </w:rPr>
              <w:t>This NOGRR and related NPRR1309 develops DRRS as a new Ancillary Service. Further, given that DRRS has at least a four-hour duration, the Non-Spin duration requirements are reduced from four hours to two hours.</w:t>
            </w:r>
          </w:p>
          <w:p w14:paraId="5C8A4122" w14:textId="35B186C5" w:rsidR="00AA1E2A" w:rsidRDefault="00AA1E2A" w:rsidP="00872B98">
            <w:pPr>
              <w:spacing w:before="0" w:after="0" w:line="240" w:lineRule="auto"/>
              <w:ind w:left="360"/>
              <w:jc w:val="both"/>
            </w:pPr>
            <w:hyperlink r:id="rId25" w:history="1">
              <w:r w:rsidRPr="007D6FFF">
                <w:rPr>
                  <w:rStyle w:val="Hyperlink"/>
                  <w:rFonts w:eastAsia="Arial"/>
                  <w:b/>
                  <w:bCs/>
                </w:rPr>
                <w:t>Impact Analysis</w:t>
              </w:r>
            </w:hyperlink>
            <w:r>
              <w:rPr>
                <w:rFonts w:eastAsia="Arial"/>
                <w:b/>
                <w:bCs/>
              </w:rPr>
              <w:t xml:space="preserve">:  </w:t>
            </w:r>
            <w:r w:rsidR="007D6FFF">
              <w:rPr>
                <w:rFonts w:eastAsia="Arial"/>
              </w:rPr>
              <w:t>No impact (</w:t>
            </w:r>
            <w:r w:rsidR="007D6FFF" w:rsidRPr="00463E31">
              <w:rPr>
                <w:rFonts w:eastAsia="Arial"/>
              </w:rPr>
              <w:t xml:space="preserve">There are no additional impacts to this NPRR beyond what was captured in </w:t>
            </w:r>
            <w:r w:rsidR="004C2748">
              <w:rPr>
                <w:rFonts w:eastAsia="Arial"/>
              </w:rPr>
              <w:t xml:space="preserve">the Impact Analysis for </w:t>
            </w:r>
            <w:r w:rsidR="007D6FFF">
              <w:rPr>
                <w:rFonts w:eastAsia="Arial"/>
              </w:rPr>
              <w:t>NPRR1309)</w:t>
            </w:r>
          </w:p>
          <w:p w14:paraId="3EF19CAE" w14:textId="1FD2D84D" w:rsidR="00AA1E2A" w:rsidRDefault="00AA1E2A" w:rsidP="00872B98">
            <w:pPr>
              <w:spacing w:before="0" w:after="0" w:line="240" w:lineRule="auto"/>
              <w:ind w:left="360"/>
              <w:jc w:val="both"/>
            </w:pPr>
            <w:r>
              <w:rPr>
                <w:rFonts w:eastAsia="Arial"/>
                <w:b/>
                <w:bCs/>
              </w:rPr>
              <w:t xml:space="preserve">Proposed Effective Date:  </w:t>
            </w:r>
            <w:r>
              <w:rPr>
                <w:rFonts w:eastAsia="Arial"/>
              </w:rPr>
              <w:t xml:space="preserve">Upon system implementation of </w:t>
            </w:r>
            <w:r w:rsidR="00F80B70">
              <w:rPr>
                <w:rFonts w:eastAsia="Arial"/>
              </w:rPr>
              <w:t>NPRR1309</w:t>
            </w:r>
          </w:p>
          <w:p w14:paraId="56148531" w14:textId="52E84568" w:rsidR="00AA1E2A" w:rsidRDefault="00AA1E2A" w:rsidP="00872B98">
            <w:pPr>
              <w:spacing w:before="0" w:after="0" w:line="240" w:lineRule="auto"/>
              <w:ind w:left="360"/>
              <w:jc w:val="both"/>
            </w:pPr>
            <w:hyperlink r:id="rId26" w:history="1">
              <w:r w:rsidRPr="004C2748">
                <w:rPr>
                  <w:rStyle w:val="Hyperlink"/>
                  <w:rFonts w:eastAsia="Arial"/>
                  <w:b/>
                  <w:bCs/>
                </w:rPr>
                <w:t>TAC Report</w:t>
              </w:r>
            </w:hyperlink>
            <w:r w:rsidRPr="004C2748">
              <w:rPr>
                <w:rFonts w:eastAsia="Arial"/>
                <w:b/>
                <w:bCs/>
              </w:rPr>
              <w:t>/Decision</w:t>
            </w:r>
            <w:r>
              <w:rPr>
                <w:rFonts w:eastAsia="Arial"/>
                <w:b/>
                <w:bCs/>
              </w:rPr>
              <w:t xml:space="preserve">:  </w:t>
            </w:r>
            <w:r>
              <w:rPr>
                <w:rFonts w:eastAsia="Arial"/>
              </w:rPr>
              <w:t xml:space="preserve">On 4/29/26, TAC voted to recommend approval of NOGRR283 as recommended by ROS in the 4/2/26 ROS Report as amended by the 4/9/26 ERCOT comments. There were five opposing votes from the Cooperative (3) (LCRA, Brazos, STEC) and Independent Generator (2) (Vistra, Constellation) Market Segments and one abstention from the Cooperative (GSEC) Market Segment. </w:t>
            </w:r>
          </w:p>
          <w:p w14:paraId="6C469BAA" w14:textId="77777777" w:rsidR="00AA1E2A" w:rsidRDefault="00AA1E2A" w:rsidP="00872B98">
            <w:pPr>
              <w:spacing w:before="0" w:after="0" w:line="240" w:lineRule="auto"/>
              <w:ind w:left="360"/>
              <w:jc w:val="both"/>
            </w:pPr>
            <w:r>
              <w:rPr>
                <w:rFonts w:eastAsia="Arial"/>
                <w:b/>
                <w:bCs/>
              </w:rPr>
              <w:t xml:space="preserve">ERCOT Opinion:  </w:t>
            </w:r>
            <w:r>
              <w:rPr>
                <w:rFonts w:eastAsia="Arial"/>
              </w:rPr>
              <w:t>ERCOT supports approval of NOGRR283.</w:t>
            </w:r>
          </w:p>
          <w:p w14:paraId="6BCEB40E" w14:textId="77777777" w:rsidR="00AA1E2A" w:rsidRDefault="00AA1E2A" w:rsidP="00872B98">
            <w:pPr>
              <w:spacing w:before="0" w:after="0" w:line="240" w:lineRule="auto"/>
              <w:ind w:left="360"/>
              <w:jc w:val="both"/>
            </w:pPr>
            <w:r>
              <w:rPr>
                <w:rFonts w:eastAsia="Arial"/>
                <w:b/>
                <w:bCs/>
              </w:rPr>
              <w:t xml:space="preserve">ERCOT Market Impact Statement:  </w:t>
            </w:r>
            <w:r>
              <w:rPr>
                <w:rFonts w:eastAsia="Arial"/>
              </w:rPr>
              <w:t>ERCOT Staff has reviewed NOGRR283 and believes the market impact for NOGRR283, along with NPRR1309, meets the statutory obligation to create DRRS pursuant to Public Utility Regulatory Act § 39.159(d).</w:t>
            </w:r>
          </w:p>
          <w:p w14:paraId="73DE5B1E" w14:textId="77777777" w:rsidR="00AA1E2A" w:rsidRDefault="00AA1E2A" w:rsidP="00872B98">
            <w:pPr>
              <w:spacing w:before="0" w:after="0" w:line="240" w:lineRule="auto"/>
              <w:ind w:left="360"/>
              <w:jc w:val="both"/>
            </w:pPr>
            <w:r>
              <w:rPr>
                <w:rFonts w:eastAsia="Arial"/>
                <w:b/>
                <w:bCs/>
              </w:rPr>
              <w:t xml:space="preserve">Independent Market Monitor (IMM) Opinion:  </w:t>
            </w:r>
            <w:r>
              <w:rPr>
                <w:rFonts w:eastAsia="Arial"/>
              </w:rPr>
              <w:t>IMM supports NOGRR283.</w:t>
            </w:r>
          </w:p>
          <w:p w14:paraId="345A8C9A" w14:textId="3B63DC48" w:rsidR="00AA1E2A" w:rsidRDefault="00AA1E2A" w:rsidP="00872B98">
            <w:pPr>
              <w:spacing w:before="0" w:after="0" w:line="240" w:lineRule="auto"/>
              <w:ind w:left="360"/>
              <w:jc w:val="both"/>
              <w:rPr>
                <w:rFonts w:eastAsia="Arial"/>
                <w:b/>
                <w:bCs/>
              </w:rPr>
            </w:pPr>
            <w:hyperlink r:id="rId27" w:anchor="keydocs" w:history="1">
              <w:r w:rsidRPr="007D6FFF">
                <w:rPr>
                  <w:rStyle w:val="Hyperlink"/>
                  <w:rFonts w:eastAsia="Arial"/>
                  <w:b/>
                  <w:bCs/>
                </w:rPr>
                <w:t>Key Documents</w:t>
              </w:r>
            </w:hyperlink>
            <w:r>
              <w:rPr>
                <w:rFonts w:eastAsia="Arial"/>
                <w:b/>
                <w:bCs/>
              </w:rPr>
              <w:t xml:space="preserve"> (including comments, ballots, reports and impact analyses)</w:t>
            </w:r>
          </w:p>
          <w:p w14:paraId="74873268" w14:textId="77777777" w:rsidR="005526CB" w:rsidRPr="00342A2D" w:rsidRDefault="005526CB" w:rsidP="00872B98">
            <w:pPr>
              <w:pStyle w:val="NormalforTable"/>
              <w:jc w:val="both"/>
              <w:rPr>
                <w:b w:val="0"/>
                <w:bCs w:val="0"/>
              </w:rPr>
            </w:pPr>
          </w:p>
        </w:tc>
      </w:tr>
      <w:tr w:rsidR="005526CB" w:rsidRPr="003F5BB4" w14:paraId="15C5E8DF" w14:textId="77777777" w:rsidTr="00BD10ED">
        <w:trPr>
          <w:trHeight w:val="214"/>
        </w:trPr>
        <w:tc>
          <w:tcPr>
            <w:tcW w:w="9468" w:type="dxa"/>
          </w:tcPr>
          <w:p w14:paraId="4B1CC266" w14:textId="77777777" w:rsidR="005526CB" w:rsidRDefault="005526CB" w:rsidP="00872B98">
            <w:pPr>
              <w:pStyle w:val="NormalforTable"/>
              <w:jc w:val="both"/>
            </w:pPr>
            <w:r w:rsidRPr="003F5BB4">
              <w:lastRenderedPageBreak/>
              <w:t>Key Factors Influencing Issue:</w:t>
            </w:r>
            <w:r>
              <w:t xml:space="preserve"> </w:t>
            </w:r>
          </w:p>
          <w:p w14:paraId="2E57E724" w14:textId="77777777" w:rsidR="00A356C2" w:rsidRDefault="00A356C2" w:rsidP="00872B98">
            <w:pPr>
              <w:spacing w:before="0" w:after="0" w:line="240" w:lineRule="auto"/>
              <w:jc w:val="both"/>
              <w:rPr>
                <w:bCs/>
              </w:rPr>
            </w:pPr>
          </w:p>
          <w:p w14:paraId="7D4B154F" w14:textId="43E8B13E" w:rsidR="00A356C2" w:rsidRDefault="00A356C2" w:rsidP="00872B98">
            <w:pPr>
              <w:spacing w:before="0" w:after="0" w:line="240" w:lineRule="auto"/>
              <w:jc w:val="both"/>
              <w:rPr>
                <w:bCs/>
              </w:rPr>
            </w:pPr>
            <w:r w:rsidRPr="00F47DEE">
              <w:rPr>
                <w:bCs/>
              </w:rPr>
              <w:t>The PRS</w:t>
            </w:r>
            <w:r>
              <w:rPr>
                <w:bCs/>
              </w:rPr>
              <w:t xml:space="preserve"> met, </w:t>
            </w:r>
            <w:r w:rsidRPr="00F47DEE">
              <w:rPr>
                <w:bCs/>
              </w:rPr>
              <w:t xml:space="preserve">discussed the issues, and submitted reports to TAC regarding </w:t>
            </w:r>
            <w:r>
              <w:rPr>
                <w:bCs/>
              </w:rPr>
              <w:t xml:space="preserve">NPRRs 1308, 1309, </w:t>
            </w:r>
            <w:r w:rsidR="00E964F4">
              <w:rPr>
                <w:bCs/>
              </w:rPr>
              <w:t xml:space="preserve">and </w:t>
            </w:r>
            <w:r>
              <w:rPr>
                <w:bCs/>
              </w:rPr>
              <w:t>13</w:t>
            </w:r>
            <w:r w:rsidR="00741687">
              <w:rPr>
                <w:bCs/>
              </w:rPr>
              <w:t>1</w:t>
            </w:r>
            <w:r>
              <w:rPr>
                <w:bCs/>
              </w:rPr>
              <w:t>5</w:t>
            </w:r>
            <w:r w:rsidR="00741687">
              <w:rPr>
                <w:bCs/>
              </w:rPr>
              <w:t>.</w:t>
            </w:r>
          </w:p>
          <w:p w14:paraId="447D719C" w14:textId="77777777" w:rsidR="00A356C2" w:rsidRDefault="00A356C2" w:rsidP="00872B98">
            <w:pPr>
              <w:spacing w:before="0" w:after="0" w:line="240" w:lineRule="auto"/>
              <w:jc w:val="both"/>
              <w:rPr>
                <w:bCs/>
              </w:rPr>
            </w:pPr>
          </w:p>
          <w:p w14:paraId="1B7C3588" w14:textId="50E4825F" w:rsidR="00A356C2" w:rsidRDefault="00A356C2" w:rsidP="00872B98">
            <w:pPr>
              <w:spacing w:before="0" w:after="0" w:line="240" w:lineRule="auto"/>
              <w:jc w:val="both"/>
              <w:rPr>
                <w:bCs/>
              </w:rPr>
            </w:pPr>
            <w:r w:rsidRPr="00F47DEE">
              <w:rPr>
                <w:bCs/>
              </w:rPr>
              <w:lastRenderedPageBreak/>
              <w:t xml:space="preserve">The </w:t>
            </w:r>
            <w:r>
              <w:rPr>
                <w:bCs/>
              </w:rPr>
              <w:t xml:space="preserve">ROS met, </w:t>
            </w:r>
            <w:r w:rsidRPr="00F47DEE">
              <w:rPr>
                <w:bCs/>
              </w:rPr>
              <w:t>discussed the issues, and submitted report</w:t>
            </w:r>
            <w:r>
              <w:rPr>
                <w:bCs/>
              </w:rPr>
              <w:t>s</w:t>
            </w:r>
            <w:r w:rsidRPr="00F47DEE">
              <w:rPr>
                <w:bCs/>
              </w:rPr>
              <w:t xml:space="preserve"> to TAC regarding </w:t>
            </w:r>
            <w:r w:rsidR="00741687">
              <w:rPr>
                <w:bCs/>
              </w:rPr>
              <w:t>NOGRRs 282 and 283</w:t>
            </w:r>
            <w:r>
              <w:rPr>
                <w:bCs/>
              </w:rPr>
              <w:t>.</w:t>
            </w:r>
          </w:p>
          <w:p w14:paraId="058A0AB8" w14:textId="77777777" w:rsidR="00A356C2" w:rsidRDefault="00A356C2" w:rsidP="00872B98">
            <w:pPr>
              <w:pStyle w:val="NormalforTable"/>
              <w:jc w:val="both"/>
            </w:pPr>
          </w:p>
          <w:p w14:paraId="295AA703" w14:textId="77777777" w:rsidR="005526CB" w:rsidRPr="00342A2D" w:rsidRDefault="005526CB" w:rsidP="00872B98">
            <w:pPr>
              <w:pStyle w:val="NormalforTable"/>
              <w:jc w:val="both"/>
              <w:rPr>
                <w:b w:val="0"/>
                <w:bCs w:val="0"/>
              </w:rPr>
            </w:pPr>
          </w:p>
        </w:tc>
      </w:tr>
      <w:tr w:rsidR="005526CB" w:rsidRPr="003F5BB4" w14:paraId="56FC0A7E" w14:textId="77777777" w:rsidTr="00BD10ED">
        <w:trPr>
          <w:trHeight w:val="214"/>
        </w:trPr>
        <w:tc>
          <w:tcPr>
            <w:tcW w:w="9468" w:type="dxa"/>
          </w:tcPr>
          <w:p w14:paraId="64837120" w14:textId="77777777" w:rsidR="005526CB" w:rsidRDefault="005526CB" w:rsidP="00872B98">
            <w:pPr>
              <w:pStyle w:val="NormalforTable"/>
              <w:jc w:val="both"/>
            </w:pPr>
            <w:r w:rsidRPr="003F5BB4">
              <w:lastRenderedPageBreak/>
              <w:t>Conclusion/Recommendation:</w:t>
            </w:r>
            <w:r>
              <w:t xml:space="preserve"> </w:t>
            </w:r>
          </w:p>
          <w:p w14:paraId="339DFABC" w14:textId="77777777" w:rsidR="00741687" w:rsidRDefault="00741687" w:rsidP="00872B98">
            <w:pPr>
              <w:pStyle w:val="NormalforTable"/>
              <w:jc w:val="both"/>
            </w:pPr>
          </w:p>
          <w:p w14:paraId="1A2870C7" w14:textId="2789E9D7" w:rsidR="00741687" w:rsidRPr="00287CDB" w:rsidRDefault="00741687" w:rsidP="00872B98">
            <w:pPr>
              <w:spacing w:before="0" w:after="0" w:line="240" w:lineRule="auto"/>
              <w:jc w:val="both"/>
              <w:rPr>
                <w:bCs/>
              </w:rPr>
            </w:pPr>
            <w:r w:rsidRPr="00F47DEE">
              <w:rPr>
                <w:bCs/>
              </w:rPr>
              <w:t xml:space="preserve">As more specifically described above, TAC recommends that the Board </w:t>
            </w:r>
            <w:r>
              <w:rPr>
                <w:bCs/>
              </w:rPr>
              <w:t xml:space="preserve">recommend approval of NPRRs 1308, 1309, </w:t>
            </w:r>
            <w:r w:rsidR="00E964F4">
              <w:rPr>
                <w:bCs/>
              </w:rPr>
              <w:t xml:space="preserve">and </w:t>
            </w:r>
            <w:r>
              <w:rPr>
                <w:bCs/>
              </w:rPr>
              <w:t>13</w:t>
            </w:r>
            <w:r w:rsidR="006342EB">
              <w:rPr>
                <w:bCs/>
              </w:rPr>
              <w:t>1</w:t>
            </w:r>
            <w:r>
              <w:rPr>
                <w:bCs/>
              </w:rPr>
              <w:t xml:space="preserve">5; </w:t>
            </w:r>
            <w:r w:rsidR="00E964F4">
              <w:rPr>
                <w:bCs/>
              </w:rPr>
              <w:t xml:space="preserve">and </w:t>
            </w:r>
            <w:r>
              <w:rPr>
                <w:bCs/>
              </w:rPr>
              <w:t>NOGRRs 282 and 283.</w:t>
            </w:r>
          </w:p>
          <w:p w14:paraId="3AAD01BD" w14:textId="77777777" w:rsidR="00741687" w:rsidRDefault="00741687" w:rsidP="00872B98">
            <w:pPr>
              <w:pStyle w:val="NormalforTable"/>
              <w:jc w:val="both"/>
            </w:pPr>
          </w:p>
          <w:p w14:paraId="2197C8B8" w14:textId="77777777" w:rsidR="005526CB" w:rsidRPr="00342A2D" w:rsidRDefault="005526CB" w:rsidP="00872B98">
            <w:pPr>
              <w:pStyle w:val="NormalforTable"/>
              <w:jc w:val="both"/>
              <w:rPr>
                <w:b w:val="0"/>
                <w:bCs w:val="0"/>
              </w:rPr>
            </w:pPr>
          </w:p>
        </w:tc>
      </w:tr>
    </w:tbl>
    <w:p w14:paraId="1E2B60D6" w14:textId="77777777" w:rsidR="005526CB" w:rsidRPr="00780658" w:rsidRDefault="005526CB" w:rsidP="005526CB"/>
    <w:p w14:paraId="012EBC26" w14:textId="77777777" w:rsidR="003F5BB4" w:rsidRPr="003F5BB4" w:rsidRDefault="003F5BB4" w:rsidP="00342A2D">
      <w:pPr>
        <w:pStyle w:val="Heading2"/>
        <w:jc w:val="center"/>
      </w:pPr>
      <w:r w:rsidRPr="00780658">
        <w:br w:type="page"/>
      </w:r>
      <w:r w:rsidRPr="003F5BB4">
        <w:lastRenderedPageBreak/>
        <w:t>ELECTRIC RELIABILITY COUNCIL OF TEXAS, INC.</w:t>
      </w:r>
    </w:p>
    <w:p w14:paraId="78F4BF70" w14:textId="77777777" w:rsidR="003F5BB4" w:rsidRPr="003F5BB4" w:rsidRDefault="003F5BB4" w:rsidP="00342A2D">
      <w:pPr>
        <w:pStyle w:val="Heading2"/>
        <w:jc w:val="center"/>
      </w:pPr>
      <w:r w:rsidRPr="003F5BB4">
        <w:t>BOARD OF DIRECTORS RESOLUTION</w:t>
      </w:r>
    </w:p>
    <w:p w14:paraId="4CE1B449" w14:textId="07FABD36" w:rsidR="003F5BB4" w:rsidRPr="00780658" w:rsidRDefault="003F5BB4" w:rsidP="00ED5715">
      <w:pPr>
        <w:jc w:val="both"/>
      </w:pPr>
      <w:r w:rsidRPr="00780658">
        <w:t>WHEREAS, after due consideration of the alternatives, the Board of Directors (Board) of Electric Reliability Council of Texas, Inc. (ERCOT) deems it desirable and in the best interest of ERCOT to</w:t>
      </w:r>
      <w:r w:rsidR="00741687">
        <w:t xml:space="preserve"> recommend approval of the following </w:t>
      </w:r>
      <w:r w:rsidR="00741687" w:rsidRPr="00741687">
        <w:t>Nodal Protocol Revision Requests (NPRRs)</w:t>
      </w:r>
      <w:r w:rsidR="00E964F4">
        <w:t xml:space="preserve"> and </w:t>
      </w:r>
      <w:r w:rsidR="00741687" w:rsidRPr="00741687">
        <w:t>Nodal Operating Guide Revision Requests (NOGRRs)</w:t>
      </w:r>
      <w:r w:rsidR="00E964F4">
        <w:t>:</w:t>
      </w:r>
    </w:p>
    <w:p w14:paraId="182F5A64" w14:textId="77777777" w:rsidR="00741687" w:rsidRPr="00AA1E2A" w:rsidRDefault="00741687" w:rsidP="00741687">
      <w:pPr>
        <w:pStyle w:val="NormalforTable"/>
        <w:numPr>
          <w:ilvl w:val="0"/>
          <w:numId w:val="25"/>
        </w:numPr>
        <w:jc w:val="both"/>
        <w:rPr>
          <w:b w:val="0"/>
          <w:bCs w:val="0"/>
        </w:rPr>
      </w:pPr>
      <w:r w:rsidRPr="00AA1E2A">
        <w:rPr>
          <w:b w:val="0"/>
          <w:bCs w:val="0"/>
        </w:rPr>
        <w:t xml:space="preserve">NPRR1308, Board Priority - Related to NOGRR282, Large Computational Load Ride-Through Requirements – URGENT </w:t>
      </w:r>
    </w:p>
    <w:p w14:paraId="6BAB6E77" w14:textId="77777777" w:rsidR="00741687" w:rsidRPr="00AA1E2A" w:rsidRDefault="00741687" w:rsidP="00741687">
      <w:pPr>
        <w:pStyle w:val="NormalforTable"/>
        <w:numPr>
          <w:ilvl w:val="0"/>
          <w:numId w:val="25"/>
        </w:numPr>
        <w:jc w:val="both"/>
        <w:rPr>
          <w:b w:val="0"/>
          <w:bCs w:val="0"/>
        </w:rPr>
      </w:pPr>
      <w:r w:rsidRPr="00AA1E2A">
        <w:rPr>
          <w:b w:val="0"/>
          <w:bCs w:val="0"/>
        </w:rPr>
        <w:t xml:space="preserve">NPRR1309, </w:t>
      </w:r>
      <w:r w:rsidRPr="00AA1E2A">
        <w:rPr>
          <w:b w:val="0"/>
          <w:bCs w:val="0"/>
        </w:rPr>
        <w:tab/>
        <w:t xml:space="preserve">Board Priority - Dispatchable Reliability Reserve Service Ancillary Service – URGENT </w:t>
      </w:r>
    </w:p>
    <w:p w14:paraId="2AB9B7A7" w14:textId="77777777" w:rsidR="00741687" w:rsidRDefault="00741687" w:rsidP="00741687">
      <w:pPr>
        <w:pStyle w:val="NormalforTable"/>
        <w:numPr>
          <w:ilvl w:val="0"/>
          <w:numId w:val="25"/>
        </w:numPr>
        <w:jc w:val="both"/>
        <w:rPr>
          <w:b w:val="0"/>
          <w:bCs w:val="0"/>
        </w:rPr>
      </w:pPr>
      <w:r w:rsidRPr="00AA1E2A">
        <w:rPr>
          <w:b w:val="0"/>
          <w:bCs w:val="0"/>
        </w:rPr>
        <w:t xml:space="preserve">NPRR1315, </w:t>
      </w:r>
      <w:r w:rsidRPr="00AA1E2A">
        <w:rPr>
          <w:b w:val="0"/>
          <w:bCs w:val="0"/>
        </w:rPr>
        <w:tab/>
        <w:t xml:space="preserve">Changes to Process of Evaluating the Potential Needs for Additional Capacity and Mitigated Offer Cap – URGENT </w:t>
      </w:r>
    </w:p>
    <w:p w14:paraId="471CE6C3" w14:textId="77777777" w:rsidR="00741687" w:rsidRPr="00AA1E2A" w:rsidRDefault="00741687" w:rsidP="00741687">
      <w:pPr>
        <w:pStyle w:val="NormalforTable"/>
        <w:numPr>
          <w:ilvl w:val="0"/>
          <w:numId w:val="25"/>
        </w:numPr>
        <w:jc w:val="both"/>
        <w:rPr>
          <w:b w:val="0"/>
          <w:bCs w:val="0"/>
        </w:rPr>
      </w:pPr>
      <w:r w:rsidRPr="00AA1E2A">
        <w:rPr>
          <w:b w:val="0"/>
          <w:bCs w:val="0"/>
        </w:rPr>
        <w:t xml:space="preserve">NOGRR282, Board Priority - Large Computational Load Ride-Through Requirements – URGENT </w:t>
      </w:r>
    </w:p>
    <w:p w14:paraId="3ACDA121" w14:textId="77777777" w:rsidR="00741687" w:rsidRDefault="00741687" w:rsidP="00741687">
      <w:pPr>
        <w:pStyle w:val="NormalforTable"/>
        <w:numPr>
          <w:ilvl w:val="0"/>
          <w:numId w:val="25"/>
        </w:numPr>
        <w:jc w:val="both"/>
        <w:rPr>
          <w:b w:val="0"/>
          <w:bCs w:val="0"/>
        </w:rPr>
      </w:pPr>
      <w:r w:rsidRPr="00AA1E2A">
        <w:rPr>
          <w:b w:val="0"/>
          <w:bCs w:val="0"/>
        </w:rPr>
        <w:t xml:space="preserve">NOGRR283, Board Priority - Related to NPRR1309, Dispatchable Reliability Reserve Service Ancillary Service – URGENT </w:t>
      </w:r>
    </w:p>
    <w:p w14:paraId="09CE2047" w14:textId="7924B4DB" w:rsidR="003F5BB4" w:rsidRPr="00780658" w:rsidRDefault="003F5BB4" w:rsidP="00ED5715">
      <w:pPr>
        <w:jc w:val="both"/>
      </w:pPr>
      <w:r w:rsidRPr="00780658">
        <w:t xml:space="preserve">THEREFORE, BE IT RESOLVED, that </w:t>
      </w:r>
      <w:r w:rsidR="00741687">
        <w:t xml:space="preserve">the </w:t>
      </w:r>
      <w:r w:rsidRPr="00780658">
        <w:t xml:space="preserve">ERCOT </w:t>
      </w:r>
      <w:r w:rsidR="00741687">
        <w:t xml:space="preserve">Board </w:t>
      </w:r>
      <w:r w:rsidRPr="00780658">
        <w:t xml:space="preserve">hereby </w:t>
      </w:r>
      <w:r w:rsidR="00741687">
        <w:t xml:space="preserve">recommends approval of </w:t>
      </w:r>
      <w:r w:rsidR="00741687">
        <w:rPr>
          <w:bCs/>
        </w:rPr>
        <w:t xml:space="preserve">NPRRs 1308, 1309, </w:t>
      </w:r>
      <w:r w:rsidR="00E964F4">
        <w:rPr>
          <w:bCs/>
        </w:rPr>
        <w:t xml:space="preserve">and </w:t>
      </w:r>
      <w:r w:rsidR="00741687">
        <w:rPr>
          <w:bCs/>
        </w:rPr>
        <w:t>13</w:t>
      </w:r>
      <w:r w:rsidR="006342EB">
        <w:rPr>
          <w:bCs/>
        </w:rPr>
        <w:t>1</w:t>
      </w:r>
      <w:r w:rsidR="00741687">
        <w:rPr>
          <w:bCs/>
        </w:rPr>
        <w:t xml:space="preserve">5; </w:t>
      </w:r>
      <w:r w:rsidR="00E964F4">
        <w:rPr>
          <w:bCs/>
        </w:rPr>
        <w:t xml:space="preserve">and </w:t>
      </w:r>
      <w:r w:rsidR="00741687">
        <w:rPr>
          <w:bCs/>
        </w:rPr>
        <w:t>NOGRRs 282 and 283</w:t>
      </w:r>
      <w:r w:rsidRPr="00780658">
        <w:t xml:space="preserve">. </w:t>
      </w:r>
    </w:p>
    <w:p w14:paraId="43B8E968" w14:textId="77777777" w:rsidR="003F5BB4" w:rsidRPr="00780658" w:rsidRDefault="003F5BB4" w:rsidP="00342A2D"/>
    <w:p w14:paraId="27DF1BAA" w14:textId="77777777" w:rsidR="003F5BB4" w:rsidRPr="00780658" w:rsidRDefault="003F5BB4" w:rsidP="003F5BB4">
      <w:pPr>
        <w:pStyle w:val="Heading2"/>
        <w:jc w:val="center"/>
      </w:pPr>
      <w:r w:rsidRPr="00780658">
        <w:t>CORPORATE SECRETARY’S CERTIFICATE</w:t>
      </w:r>
    </w:p>
    <w:p w14:paraId="35351D47" w14:textId="308D4985" w:rsidR="003F5BB4" w:rsidRPr="00780658" w:rsidRDefault="003F5BB4" w:rsidP="00ED5715">
      <w:pPr>
        <w:jc w:val="both"/>
      </w:pPr>
      <w:r w:rsidRPr="00780658">
        <w:t xml:space="preserve">I, </w:t>
      </w:r>
      <w:r>
        <w:t>Brandon Gleason</w:t>
      </w:r>
      <w:r w:rsidRPr="00780658">
        <w:t xml:space="preserve">, </w:t>
      </w:r>
      <w:r>
        <w:t xml:space="preserve">Assistant </w:t>
      </w:r>
      <w:r w:rsidRPr="00780658">
        <w:t xml:space="preserve">Corporate Secretary of ERCOT, do hereby certify that, at its </w:t>
      </w:r>
      <w:r w:rsidR="00872B98">
        <w:t>June 1-2, 2026</w:t>
      </w:r>
      <w:r w:rsidRPr="00780658">
        <w:t xml:space="preserve"> meeting, the Board passed a motion approving the above Resolution by ______.</w:t>
      </w:r>
    </w:p>
    <w:p w14:paraId="51B1026F" w14:textId="77777777" w:rsidR="003F5BB4" w:rsidRDefault="003F5BB4" w:rsidP="00ED5715">
      <w:pPr>
        <w:jc w:val="both"/>
      </w:pPr>
      <w:r w:rsidRPr="00780658">
        <w:t>IN WITNESS WHEREOF, I have hereunto set my hand this ___ day of ______________, 20</w:t>
      </w:r>
      <w:r>
        <w:t>2</w:t>
      </w:r>
      <w:r w:rsidR="00F86DDA">
        <w:t>6</w:t>
      </w:r>
      <w:r w:rsidRPr="00780658">
        <w:t>.</w:t>
      </w:r>
    </w:p>
    <w:p w14:paraId="0EB74DC5" w14:textId="77777777" w:rsidR="00342A2D" w:rsidRDefault="00342A2D" w:rsidP="00342A2D"/>
    <w:p w14:paraId="292F3232" w14:textId="77777777" w:rsidR="003F5BB4" w:rsidRPr="00780658" w:rsidRDefault="003F5BB4" w:rsidP="00342A2D">
      <w:r w:rsidRPr="00780658">
        <w:t>______________________________</w:t>
      </w:r>
    </w:p>
    <w:p w14:paraId="12A5616A" w14:textId="77777777" w:rsidR="003F5BB4" w:rsidRPr="00342A2D" w:rsidRDefault="003F5BB4" w:rsidP="00342A2D">
      <w:r w:rsidRPr="00342A2D">
        <w:t>Brandon Gleason</w:t>
      </w:r>
    </w:p>
    <w:p w14:paraId="6D96CA4A" w14:textId="77777777" w:rsidR="003F5BB4" w:rsidRPr="00342A2D" w:rsidRDefault="003F5BB4" w:rsidP="00342A2D">
      <w:r w:rsidRPr="00342A2D">
        <w:t>Assistant Corporate Secretary</w:t>
      </w:r>
    </w:p>
    <w:p w14:paraId="19204592" w14:textId="77777777" w:rsidR="001437F8" w:rsidRDefault="001437F8" w:rsidP="00342A2D"/>
    <w:sectPr w:rsidR="001437F8" w:rsidSect="005526CB">
      <w:headerReference w:type="even" r:id="rId28"/>
      <w:headerReference w:type="default" r:id="rId29"/>
      <w:footerReference w:type="even" r:id="rId30"/>
      <w:footerReference w:type="default" r:id="rId31"/>
      <w:headerReference w:type="first" r:id="rId32"/>
      <w:footerReference w:type="first" r:id="rId33"/>
      <w:pgSz w:w="12240" w:h="15840" w:code="1"/>
      <w:pgMar w:top="1290" w:right="1440" w:bottom="1670" w:left="1210" w:header="864" w:footer="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C030E" w14:textId="77777777" w:rsidR="00A351C6" w:rsidRDefault="00A351C6" w:rsidP="00342A2D">
      <w:r>
        <w:separator/>
      </w:r>
    </w:p>
    <w:p w14:paraId="5B2E26C5" w14:textId="77777777" w:rsidR="00A351C6" w:rsidRDefault="00A351C6" w:rsidP="00342A2D"/>
  </w:endnote>
  <w:endnote w:type="continuationSeparator" w:id="0">
    <w:p w14:paraId="4796F86F" w14:textId="77777777" w:rsidR="00A351C6" w:rsidRDefault="00A351C6" w:rsidP="00342A2D">
      <w:r>
        <w:continuationSeparator/>
      </w:r>
    </w:p>
    <w:p w14:paraId="05C5A0C1" w14:textId="77777777" w:rsidR="00A351C6" w:rsidRDefault="00A351C6" w:rsidP="00342A2D"/>
  </w:endnote>
  <w:endnote w:type="continuationNotice" w:id="1">
    <w:p w14:paraId="77E4617B" w14:textId="77777777" w:rsidR="00A351C6" w:rsidRDefault="00A351C6" w:rsidP="00342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9F93" w14:textId="77777777" w:rsidR="0033735D" w:rsidRDefault="00263694" w:rsidP="00342A2D">
    <w:r>
      <w:rPr>
        <w:rFonts w:ascii="Calibri" w:eastAsia="Calibri" w:hAnsi="Calibri" w:cs="Calibri"/>
        <w:noProof/>
        <w:color w:val="000000"/>
        <w:sz w:val="22"/>
      </w:rPr>
      <mc:AlternateContent>
        <mc:Choice Requires="wpg">
          <w:drawing>
            <wp:anchor distT="0" distB="0" distL="114300" distR="114300" simplePos="0" relativeHeight="251659776" behindDoc="0" locked="0" layoutInCell="1" allowOverlap="1" wp14:anchorId="5771D8C8" wp14:editId="45965F07">
              <wp:simplePos x="0" y="0"/>
              <wp:positionH relativeFrom="page">
                <wp:posOffset>685800</wp:posOffset>
              </wp:positionH>
              <wp:positionV relativeFrom="page">
                <wp:posOffset>8977312</wp:posOffset>
              </wp:positionV>
              <wp:extent cx="6400800" cy="9525"/>
              <wp:effectExtent l="0" t="0" r="0" b="0"/>
              <wp:wrapSquare wrapText="bothSides"/>
              <wp:docPr id="12859" name="Group 12859"/>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60" name="Shape 12860"/>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06CDE865" id="Group 12859" o:spid="_x0000_s1026" style="position:absolute;margin-left:54pt;margin-top:706.85pt;width:7in;height:.75pt;z-index:25165977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q1oHG1QCAACuBQAADgAAAAAAAAAAAAAAAAAuAgAAZHJzL2Uyb0RvYy54bWxQSwEC&#10;LQAUAAYACAAAACEAdrIaU+AAAAAOAQAADwAAAAAAAAAAAAAAAACuBAAAZHJzL2Rvd25yZXYueG1s&#10;UEsFBgAAAAAEAAQA8wAAALsFAAAAAA==&#10;">
              <v:shape id="Shape 12860"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" path="m,l6400800,e" filled="f" strokecolor="#d0d3d5">
                <v:stroke miterlimit="83231f" joinstyle="miter"/>
                <v:path arrowok="t" textboxrect="0,0,6400800,0"/>
              </v:shape>
              <w10:wrap type="square" anchorx="page" anchory="page"/>
            </v:group>
          </w:pict>
        </mc:Fallback>
      </mc:AlternateContent>
    </w:r>
    <w:r>
      <w:rPr>
        <w:color w:val="5B6770"/>
        <w:sz w:val="18"/>
      </w:rPr>
      <w:t>ERCOT | AUGUST, 2023</w:t>
    </w:r>
    <w:r>
      <w:rPr>
        <w:color w:val="5B6770"/>
        <w:sz w:val="18"/>
      </w:rPr>
      <w:tab/>
    </w:r>
    <w:r>
      <w:rPr>
        <w:sz w:val="26"/>
      </w:rPr>
      <w:fldChar w:fldCharType="begin"/>
    </w:r>
    <w:r>
      <w:instrText xml:space="preserve"> PAGE   \* MERGEFORMAT </w:instrText>
    </w:r>
    <w:r>
      <w:rPr>
        <w:sz w:val="26"/>
      </w:rPr>
      <w:fldChar w:fldCharType="separate"/>
    </w:r>
    <w:r>
      <w:rPr>
        <w:color w:val="5B6770"/>
        <w:sz w:val="18"/>
      </w:rPr>
      <w:t>2</w:t>
    </w:r>
    <w:r>
      <w:rPr>
        <w:color w:val="5B6770"/>
        <w:sz w:val="18"/>
      </w:rPr>
      <w:fldChar w:fldCharType="end"/>
    </w:r>
  </w:p>
  <w:p w14:paraId="6926964D" w14:textId="77777777" w:rsidR="00026346" w:rsidRDefault="00026346" w:rsidP="00342A2D"/>
  <w:p w14:paraId="08610841" w14:textId="77777777" w:rsidR="00DD77B3" w:rsidRDefault="00DD77B3" w:rsidP="00342A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9B18" w14:textId="77777777" w:rsidR="00DA47EE" w:rsidRDefault="00046EA1" w:rsidP="00342A2D">
    <w:pPr>
      <w:pStyle w:val="FooterTextRight"/>
    </w:pPr>
    <w:r>
      <mc:AlternateContent>
        <mc:Choice Requires="wps">
          <w:drawing>
            <wp:anchor distT="0" distB="0" distL="114300" distR="114300" simplePos="0" relativeHeight="251676160" behindDoc="0" locked="0" layoutInCell="1" allowOverlap="1" wp14:anchorId="0C7B0E91" wp14:editId="22009013">
              <wp:simplePos x="0" y="0"/>
              <wp:positionH relativeFrom="column">
                <wp:posOffset>-166023</wp:posOffset>
              </wp:positionH>
              <wp:positionV relativeFrom="paragraph">
                <wp:posOffset>-43180</wp:posOffset>
              </wp:positionV>
              <wp:extent cx="2951018" cy="574964"/>
              <wp:effectExtent l="0" t="0" r="0" b="0"/>
              <wp:wrapNone/>
              <wp:docPr id="2040871837" name="Text Box 13"/>
              <wp:cNvGraphicFramePr/>
              <a:graphic xmlns:a="http://schemas.openxmlformats.org/drawingml/2006/main">
                <a:graphicData uri="http://schemas.microsoft.com/office/word/2010/wordprocessingShape">
                  <wps:wsp>
                    <wps:cNvSpPr txBox="1"/>
                    <wps:spPr>
                      <a:xfrm>
                        <a:off x="0" y="0"/>
                        <a:ext cx="2951018" cy="574964"/>
                      </a:xfrm>
                      <a:prstGeom prst="rect">
                        <a:avLst/>
                      </a:prstGeom>
                      <a:noFill/>
                      <a:ln w="6350">
                        <a:noFill/>
                      </a:ln>
                    </wps:spPr>
                    <wps:txbx>
                      <w:txbxContent>
                        <w:p w14:paraId="1779276F" w14:textId="2DD8D05C" w:rsidR="00342A2D" w:rsidRDefault="00342A2D" w:rsidP="00342A2D">
                          <w:pPr>
                            <w:pStyle w:val="FooterTextLeft"/>
                          </w:pPr>
                          <w:r w:rsidRPr="00006A20">
                            <w:t xml:space="preserve">Item </w:t>
                          </w:r>
                          <w:r w:rsidR="00872B98">
                            <w:t>15.1</w:t>
                          </w:r>
                          <w:r>
                            <w:t xml:space="preserve"> </w:t>
                          </w:r>
                        </w:p>
                        <w:p w14:paraId="1DEA85BF" w14:textId="77777777" w:rsidR="00342A2D" w:rsidRDefault="00342A2D" w:rsidP="00342A2D">
                          <w:pPr>
                            <w:pStyle w:val="FooterTextLeft"/>
                          </w:pPr>
                          <w:r w:rsidRPr="00A314C8">
                            <w:t xml:space="preserve">ERCOT </w:t>
                          </w:r>
                          <w:r>
                            <w:t>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7B0E91" id="_x0000_t202" coordsize="21600,21600" o:spt="202" path="m,l,21600r21600,l21600,xe">
              <v:stroke joinstyle="miter"/>
              <v:path gradientshapeok="t" o:connecttype="rect"/>
            </v:shapetype>
            <v:shape id="Text Box 13" o:spid="_x0000_s1026" type="#_x0000_t202" style="position:absolute;left:0;text-align:left;margin-left:-13.05pt;margin-top:-3.4pt;width:232.35pt;height:45.25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" filled="f" stroked="f" strokeweight=".5pt">
              <v:textbox>
                <w:txbxContent>
                  <w:p w14:paraId="1779276F" w14:textId="2DD8D05C" w:rsidR="00342A2D" w:rsidRDefault="00342A2D" w:rsidP="00342A2D">
                    <w:pPr>
                      <w:pStyle w:val="FooterTextLeft"/>
                    </w:pPr>
                    <w:r w:rsidRPr="00006A20">
                      <w:t xml:space="preserve">Item </w:t>
                    </w:r>
                    <w:r w:rsidR="00872B98">
                      <w:t>15.1</w:t>
                    </w:r>
                    <w:r>
                      <w:t xml:space="preserve"> </w:t>
                    </w:r>
                  </w:p>
                  <w:p w14:paraId="1DEA85BF" w14:textId="77777777" w:rsidR="00342A2D" w:rsidRDefault="00342A2D" w:rsidP="00342A2D">
                    <w:pPr>
                      <w:pStyle w:val="FooterTextLeft"/>
                    </w:pPr>
                    <w:r w:rsidRPr="00A314C8">
                      <w:t xml:space="preserve">ERCOT </w:t>
                    </w:r>
                    <w:r>
                      <w:t>Public</w:t>
                    </w:r>
                  </w:p>
                </w:txbxContent>
              </v:textbox>
            </v:shape>
          </w:pict>
        </mc:Fallback>
      </mc:AlternateContent>
    </w:r>
    <w:r w:rsidR="004033FB" w:rsidRPr="00AA1F1E">
      <mc:AlternateContent>
        <mc:Choice Requires="wpg">
          <w:drawing>
            <wp:anchor distT="0" distB="0" distL="114300" distR="114300" simplePos="0" relativeHeight="251654656" behindDoc="0" locked="0" layoutInCell="1" allowOverlap="1" wp14:anchorId="34C85860" wp14:editId="024C893F">
              <wp:simplePos x="0" y="0"/>
              <wp:positionH relativeFrom="page">
                <wp:posOffset>693420</wp:posOffset>
              </wp:positionH>
              <wp:positionV relativeFrom="page">
                <wp:posOffset>9014460</wp:posOffset>
              </wp:positionV>
              <wp:extent cx="6308725" cy="79375"/>
              <wp:effectExtent l="0" t="0" r="0" b="0"/>
              <wp:wrapNone/>
              <wp:docPr id="12842" name="Group 12842"/>
              <wp:cNvGraphicFramePr/>
              <a:graphic xmlns:a="http://schemas.openxmlformats.org/drawingml/2006/main">
                <a:graphicData uri="http://schemas.microsoft.com/office/word/2010/wordprocessingGroup">
                  <wpg:wgp>
                    <wpg:cNvGrpSpPr/>
                    <wpg:grpSpPr>
                      <a:xfrm>
                        <a:off x="0" y="0"/>
                        <a:ext cx="6308725" cy="79375"/>
                        <a:chOff x="0" y="0"/>
                        <a:chExt cx="6400800" cy="9525"/>
                      </a:xfrm>
                    </wpg:grpSpPr>
                    <wps:wsp>
                      <wps:cNvPr id="12843" name="Shape 12843"/>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6C771509" id="Group 12842" o:spid="_x0000_s1026" style="position:absolute;margin-left:54.6pt;margin-top:709.8pt;width:496.75pt;height:6.25pt;z-index:251654656;mso-position-horizontal-relative:page;mso-position-vertical-relative:page;mso-width-relative:margin;mso-height-relative:margin"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">
              <v:shape id="Shape 12843"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" path="m,l6400800,e" filled="f" strokecolor="#d0d3d5">
                <v:stroke miterlimit="83231f" joinstyle="miter"/>
                <v:path arrowok="t" textboxrect="0,0,6400800,0"/>
              </v:shape>
              <w10:wrap anchorx="page" anchory="page"/>
            </v:group>
          </w:pict>
        </mc:Fallback>
      </mc:AlternateContent>
    </w:r>
  </w:p>
  <w:p w14:paraId="2AD8DCAF" w14:textId="77777777" w:rsidR="0033735D" w:rsidRDefault="00B12406" w:rsidP="00046EA1">
    <w:pPr>
      <w:pStyle w:val="FooterTextLeft"/>
      <w:tabs>
        <w:tab w:val="left" w:pos="8509"/>
      </w:tabs>
    </w:pPr>
    <w:r>
      <w:tab/>
    </w:r>
    <w:r w:rsidR="00046EA1">
      <w:tab/>
    </w:r>
    <w:r w:rsidRPr="00B12406">
      <w:fldChar w:fldCharType="begin"/>
    </w:r>
    <w:r w:rsidRPr="00B12406">
      <w:instrText xml:space="preserve"> PAGE   \* MERGEFORMAT </w:instrText>
    </w:r>
    <w:r w:rsidRPr="00B12406">
      <w:fldChar w:fldCharType="separate"/>
    </w:r>
    <w:r w:rsidRPr="00B12406">
      <w:t>2</w:t>
    </w:r>
    <w:r w:rsidRPr="00B12406">
      <w:fldChar w:fldCharType="end"/>
    </w:r>
  </w:p>
  <w:p w14:paraId="5C96EDE1" w14:textId="77777777" w:rsidR="00026346" w:rsidRDefault="00026346" w:rsidP="00342A2D"/>
  <w:p w14:paraId="2530B572" w14:textId="77777777" w:rsidR="00DD77B3" w:rsidRDefault="00DD77B3" w:rsidP="00342A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27575" w14:textId="77777777" w:rsidR="0033735D" w:rsidRDefault="00822900" w:rsidP="00342A2D">
    <w:pPr>
      <w:pStyle w:val="FooterTextRight"/>
    </w:pPr>
    <w:r>
      <mc:AlternateContent>
        <mc:Choice Requires="wps">
          <w:drawing>
            <wp:anchor distT="0" distB="0" distL="114300" distR="114300" simplePos="0" relativeHeight="251668992" behindDoc="0" locked="0" layoutInCell="1" allowOverlap="1" wp14:anchorId="2E7C02E2" wp14:editId="034BA50B">
              <wp:simplePos x="0" y="0"/>
              <wp:positionH relativeFrom="column">
                <wp:posOffset>-34059</wp:posOffset>
              </wp:positionH>
              <wp:positionV relativeFrom="paragraph">
                <wp:posOffset>-63558</wp:posOffset>
              </wp:positionV>
              <wp:extent cx="6352309" cy="595746"/>
              <wp:effectExtent l="0" t="0" r="0" b="0"/>
              <wp:wrapNone/>
              <wp:docPr id="1951479602" name="Text Box 12"/>
              <wp:cNvGraphicFramePr/>
              <a:graphic xmlns:a="http://schemas.openxmlformats.org/drawingml/2006/main">
                <a:graphicData uri="http://schemas.microsoft.com/office/word/2010/wordprocessingShape">
                  <wps:wsp>
                    <wps:cNvSpPr txBox="1"/>
                    <wps:spPr>
                      <a:xfrm>
                        <a:off x="0" y="0"/>
                        <a:ext cx="6352309" cy="595746"/>
                      </a:xfrm>
                      <a:prstGeom prst="rect">
                        <a:avLst/>
                      </a:prstGeom>
                      <a:noFill/>
                      <a:ln w="6350">
                        <a:noFill/>
                      </a:ln>
                    </wps:spPr>
                    <wps:txbx>
                      <w:txbxContent>
                        <w:p w14:paraId="7C25539C"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3F0594FD" w14:textId="77777777" w:rsidR="00822900" w:rsidRPr="00A314C8" w:rsidRDefault="00822900" w:rsidP="00046EA1">
                          <w:pPr>
                            <w:pStyle w:val="FooterTextLeft"/>
                          </w:pPr>
                          <w:r w:rsidRPr="00A314C8">
                            <w:t xml:space="preserve">ERCOT </w:t>
                          </w:r>
                          <w:r>
                            <w:t>Public</w:t>
                          </w:r>
                        </w:p>
                        <w:p w14:paraId="54317790" w14:textId="77777777" w:rsidR="00822900" w:rsidRDefault="00822900" w:rsidP="0034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7C02E2" id="_x0000_t202" coordsize="21600,21600" o:spt="202" path="m,l,21600r21600,l21600,xe">
              <v:stroke joinstyle="miter"/>
              <v:path gradientshapeok="t" o:connecttype="rect"/>
            </v:shapetype>
            <v:shape id="Text Box 12" o:spid="_x0000_s1027" type="#_x0000_t202" style="position:absolute;left:0;text-align:left;margin-left:-2.7pt;margin-top:-5pt;width:500.2pt;height:46.9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" filled="f" stroked="f" strokeweight=".5pt">
              <v:textbox>
                <w:txbxContent>
                  <w:p w14:paraId="7C25539C"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3F0594FD" w14:textId="77777777" w:rsidR="00822900" w:rsidRPr="00A314C8" w:rsidRDefault="00822900" w:rsidP="00046EA1">
                    <w:pPr>
                      <w:pStyle w:val="FooterTextLeft"/>
                    </w:pPr>
                    <w:r w:rsidRPr="00A314C8">
                      <w:t xml:space="preserve">ERCOT </w:t>
                    </w:r>
                    <w:r>
                      <w:t>Public</w:t>
                    </w:r>
                  </w:p>
                  <w:p w14:paraId="54317790" w14:textId="77777777" w:rsidR="00822900" w:rsidRDefault="00822900" w:rsidP="00342A2D"/>
                </w:txbxContent>
              </v:textbox>
            </v:shape>
          </w:pict>
        </mc:Fallback>
      </mc:AlternateContent>
    </w:r>
    <w:r w:rsidR="00263694">
      <mc:AlternateContent>
        <mc:Choice Requires="wpg">
          <w:drawing>
            <wp:anchor distT="0" distB="0" distL="114300" distR="114300" simplePos="0" relativeHeight="251664896" behindDoc="0" locked="0" layoutInCell="1" allowOverlap="1" wp14:anchorId="7EAABFA3" wp14:editId="7786BC7C">
              <wp:simplePos x="0" y="0"/>
              <wp:positionH relativeFrom="page">
                <wp:posOffset>685800</wp:posOffset>
              </wp:positionH>
              <wp:positionV relativeFrom="page">
                <wp:posOffset>8977312</wp:posOffset>
              </wp:positionV>
              <wp:extent cx="6400800" cy="9525"/>
              <wp:effectExtent l="0" t="0" r="0" b="0"/>
              <wp:wrapSquare wrapText="bothSides"/>
              <wp:docPr id="12825" name="Group 12825"/>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26" name="Shape 12826"/>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145A4B06" id="Group 12825" o:spid="_x0000_s1026" style="position:absolute;margin-left:54pt;margin-top:706.85pt;width:7in;height:.75pt;z-index:25166489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XxWFKVQCAACuBQAADgAAAAAAAAAAAAAAAAAuAgAAZHJzL2Uyb0RvYy54bWxQSwEC&#10;LQAUAAYACAAAACEAdrIaU+AAAAAOAQAADwAAAAAAAAAAAAAAAACuBAAAZHJzL2Rvd25yZXYueG1s&#10;UEsFBgAAAAAEAAQA8wAAALsFAAAAAA==&#10;">
              <v:shape id="Shape 12826"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" path="m,l6400800,e" filled="f" strokecolor="#d0d3d5">
                <v:stroke miterlimit="83231f" joinstyle="miter"/>
                <v:path arrowok="t" textboxrect="0,0,6400800,0"/>
              </v:shape>
              <w10:wrap type="square" anchorx="page" anchory="page"/>
            </v:group>
          </w:pict>
        </mc:Fallback>
      </mc:AlternateContent>
    </w:r>
    <w:r>
      <w:t xml:space="preserve"> </w:t>
    </w:r>
  </w:p>
  <w:p w14:paraId="1DD0C719" w14:textId="77777777" w:rsidR="00026346" w:rsidRDefault="00026346" w:rsidP="00342A2D"/>
  <w:p w14:paraId="6D72C965" w14:textId="77777777" w:rsidR="00DD77B3" w:rsidRDefault="00DD77B3" w:rsidP="00342A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ED769" w14:textId="77777777" w:rsidR="00A351C6" w:rsidRDefault="00A351C6" w:rsidP="00342A2D">
      <w:r>
        <w:separator/>
      </w:r>
    </w:p>
    <w:p w14:paraId="61AAD313" w14:textId="77777777" w:rsidR="00A351C6" w:rsidRDefault="00A351C6" w:rsidP="00342A2D"/>
  </w:footnote>
  <w:footnote w:type="continuationSeparator" w:id="0">
    <w:p w14:paraId="00B382BB" w14:textId="77777777" w:rsidR="00A351C6" w:rsidRDefault="00A351C6" w:rsidP="00342A2D">
      <w:r>
        <w:continuationSeparator/>
      </w:r>
    </w:p>
    <w:p w14:paraId="01AAF0B7" w14:textId="77777777" w:rsidR="00A351C6" w:rsidRDefault="00A351C6" w:rsidP="00342A2D"/>
  </w:footnote>
  <w:footnote w:type="continuationNotice" w:id="1">
    <w:p w14:paraId="013256C1" w14:textId="77777777" w:rsidR="00A351C6" w:rsidRDefault="00A351C6" w:rsidP="00342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7AA1" w14:textId="77777777" w:rsidR="0033735D" w:rsidRDefault="0033735D" w:rsidP="00342A2D"/>
  <w:p w14:paraId="7F3A426F" w14:textId="77777777" w:rsidR="00026346" w:rsidRDefault="00026346" w:rsidP="00342A2D"/>
  <w:p w14:paraId="79139541" w14:textId="77777777" w:rsidR="00DD77B3" w:rsidRDefault="00DD77B3" w:rsidP="00342A2D"/>
  <w:sdt>
    <w:sdtPr>
      <w:alias w:val="Title"/>
      <w:tag w:val=""/>
      <w:id w:val="-627546109"/>
      <w:dataBinding w:prefixMappings="xmlns:ns0='http://purl.org/dc/elements/1.1/' xmlns:ns1='http://schemas.openxmlformats.org/package/2006/metadata/core-properties' " w:xpath="/ns1:coreProperties[1]/ns0:title[1]" w:storeItemID="{6C3C8BC8-F283-45AE-878A-BAB7291924A1}"/>
      <w:text/>
    </w:sdtPr>
    <w:sdtContent>
      <w:p w14:paraId="7F51E568" w14:textId="77777777" w:rsidR="00DD77B3" w:rsidRDefault="00D808C3" w:rsidP="00342A2D">
        <w:r>
          <w:t>ERCOT Board Decision Template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124B" w14:textId="77777777" w:rsidR="00046EA1" w:rsidRDefault="00046EA1" w:rsidP="00046EA1">
    <w:pPr>
      <w:pStyle w:val="Header"/>
    </w:pPr>
    <w:r>
      <w:rPr>
        <w:noProof/>
      </w:rPr>
      <w:drawing>
        <wp:anchor distT="0" distB="0" distL="114300" distR="114300" simplePos="0" relativeHeight="251678208" behindDoc="0" locked="0" layoutInCell="1" allowOverlap="1" wp14:anchorId="7B9CF387" wp14:editId="58EBDC87">
          <wp:simplePos x="0" y="0"/>
          <wp:positionH relativeFrom="column">
            <wp:posOffset>0</wp:posOffset>
          </wp:positionH>
          <wp:positionV relativeFrom="paragraph">
            <wp:posOffset>-67830</wp:posOffset>
          </wp:positionV>
          <wp:extent cx="1069686" cy="414072"/>
          <wp:effectExtent l="0" t="0" r="0" b="5080"/>
          <wp:wrapNone/>
          <wp:docPr id="1728908064"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A1B949" w14:textId="77777777" w:rsidR="005526CB" w:rsidRDefault="005526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B93A" w14:textId="77777777" w:rsidR="003F5BB4" w:rsidRDefault="003F5BB4" w:rsidP="00342A2D">
    <w:pPr>
      <w:pStyle w:val="Header"/>
    </w:pPr>
    <w:r>
      <w:rPr>
        <w:noProof/>
      </w:rPr>
      <w:drawing>
        <wp:anchor distT="0" distB="0" distL="114300" distR="114300" simplePos="0" relativeHeight="251674112" behindDoc="0" locked="0" layoutInCell="1" allowOverlap="1" wp14:anchorId="0A9A316D" wp14:editId="68AF4E35">
          <wp:simplePos x="0" y="0"/>
          <wp:positionH relativeFrom="column">
            <wp:posOffset>0</wp:posOffset>
          </wp:positionH>
          <wp:positionV relativeFrom="paragraph">
            <wp:posOffset>-67830</wp:posOffset>
          </wp:positionV>
          <wp:extent cx="1069686" cy="414072"/>
          <wp:effectExtent l="0" t="0" r="0" b="5080"/>
          <wp:wrapNone/>
          <wp:docPr id="179488463"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999DE3" w14:textId="77777777" w:rsidR="00DD77B3" w:rsidRPr="00822900" w:rsidRDefault="00DD77B3" w:rsidP="00342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71EFB"/>
    <w:multiLevelType w:val="hybridMultilevel"/>
    <w:tmpl w:val="62DADEBA"/>
    <w:lvl w:ilvl="0" w:tplc="0409000F">
      <w:start w:val="1"/>
      <w:numFmt w:val="decimal"/>
      <w:lvlText w:val="%1."/>
      <w:lvlJc w:val="left"/>
      <w:pPr>
        <w:ind w:left="883" w:hanging="360"/>
      </w:p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 w15:restartNumberingAfterBreak="0">
    <w:nsid w:val="111C06D0"/>
    <w:multiLevelType w:val="hybridMultilevel"/>
    <w:tmpl w:val="007021E8"/>
    <w:lvl w:ilvl="0" w:tplc="3220740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86001AF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F4602D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18418A0">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BFE152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7618E27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33EB54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7029D2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9D92566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2" w15:restartNumberingAfterBreak="0">
    <w:nsid w:val="135009ED"/>
    <w:multiLevelType w:val="hybridMultilevel"/>
    <w:tmpl w:val="1004DE6A"/>
    <w:lvl w:ilvl="0" w:tplc="101095E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B6FC82C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31E949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55AAAAA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E1DAE28E">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66189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66008D36">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6B4785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3146A5D8">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3" w15:restartNumberingAfterBreak="0">
    <w:nsid w:val="141D5937"/>
    <w:multiLevelType w:val="hybridMultilevel"/>
    <w:tmpl w:val="9DC037FA"/>
    <w:lvl w:ilvl="0" w:tplc="F8044930">
      <w:start w:val="1"/>
      <w:numFmt w:val="bullet"/>
      <w:lvlText w:val="n"/>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3A38BDE4">
      <w:start w:val="1"/>
      <w:numFmt w:val="bullet"/>
      <w:lvlText w:val="o"/>
      <w:lvlJc w:val="left"/>
      <w:pPr>
        <w:ind w:left="13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86C2CD4">
      <w:start w:val="1"/>
      <w:numFmt w:val="bullet"/>
      <w:lvlText w:val="▪"/>
      <w:lvlJc w:val="left"/>
      <w:pPr>
        <w:ind w:left="21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27069950">
      <w:start w:val="1"/>
      <w:numFmt w:val="bullet"/>
      <w:lvlText w:val="•"/>
      <w:lvlJc w:val="left"/>
      <w:pPr>
        <w:ind w:left="28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387E83D4">
      <w:start w:val="1"/>
      <w:numFmt w:val="bullet"/>
      <w:lvlText w:val="o"/>
      <w:lvlJc w:val="left"/>
      <w:pPr>
        <w:ind w:left="355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EAD280">
      <w:start w:val="1"/>
      <w:numFmt w:val="bullet"/>
      <w:lvlText w:val="▪"/>
      <w:lvlJc w:val="left"/>
      <w:pPr>
        <w:ind w:left="427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3A1A7A96">
      <w:start w:val="1"/>
      <w:numFmt w:val="bullet"/>
      <w:lvlText w:val="•"/>
      <w:lvlJc w:val="left"/>
      <w:pPr>
        <w:ind w:left="49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FE0C414">
      <w:start w:val="1"/>
      <w:numFmt w:val="bullet"/>
      <w:lvlText w:val="o"/>
      <w:lvlJc w:val="left"/>
      <w:pPr>
        <w:ind w:left="57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E8D2448C">
      <w:start w:val="1"/>
      <w:numFmt w:val="bullet"/>
      <w:lvlText w:val="▪"/>
      <w:lvlJc w:val="left"/>
      <w:pPr>
        <w:ind w:left="64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4" w15:restartNumberingAfterBreak="0">
    <w:nsid w:val="18F05A23"/>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5" w15:restartNumberingAfterBreak="0">
    <w:nsid w:val="1AB82BA4"/>
    <w:multiLevelType w:val="hybridMultilevel"/>
    <w:tmpl w:val="D7C8915C"/>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6" w15:restartNumberingAfterBreak="0">
    <w:nsid w:val="205D4EB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7" w15:restartNumberingAfterBreak="0">
    <w:nsid w:val="26251B56"/>
    <w:multiLevelType w:val="hybridMultilevel"/>
    <w:tmpl w:val="C852643C"/>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8" w15:restartNumberingAfterBreak="0">
    <w:nsid w:val="345021E1"/>
    <w:multiLevelType w:val="hybridMultilevel"/>
    <w:tmpl w:val="E8DCBC56"/>
    <w:lvl w:ilvl="0" w:tplc="C1044A0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C2EA628">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E2AEED0E">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BEB496D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C66A822">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8FF8936A">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BA584D3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1CBC9A04">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261C735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9" w15:restartNumberingAfterBreak="0">
    <w:nsid w:val="34C5258F"/>
    <w:multiLevelType w:val="hybridMultilevel"/>
    <w:tmpl w:val="5F80287A"/>
    <w:lvl w:ilvl="0" w:tplc="B7CA783C">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409000B">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E766FDE"/>
    <w:multiLevelType w:val="hybridMultilevel"/>
    <w:tmpl w:val="ADFAFDEE"/>
    <w:lvl w:ilvl="0" w:tplc="3FE0F260">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DB0881DE">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A02AF380">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96A1D4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6E6A3B0">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2C6C7B94">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A18845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D0D033D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466869F6">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1" w15:restartNumberingAfterBreak="0">
    <w:nsid w:val="42FC076E"/>
    <w:multiLevelType w:val="hybridMultilevel"/>
    <w:tmpl w:val="6A327CF0"/>
    <w:lvl w:ilvl="0" w:tplc="8A988372">
      <w:start w:val="1"/>
      <w:numFmt w:val="bullet"/>
      <w:lvlText w:val="●"/>
      <w:lvlJc w:val="left"/>
      <w:pPr>
        <w:ind w:left="720" w:hanging="360"/>
      </w:pPr>
    </w:lvl>
    <w:lvl w:ilvl="1" w:tplc="29A61104">
      <w:start w:val="1"/>
      <w:numFmt w:val="bullet"/>
      <w:lvlText w:val="○"/>
      <w:lvlJc w:val="left"/>
      <w:pPr>
        <w:ind w:left="1440" w:hanging="360"/>
      </w:pPr>
    </w:lvl>
    <w:lvl w:ilvl="2" w:tplc="3170011E">
      <w:start w:val="1"/>
      <w:numFmt w:val="bullet"/>
      <w:lvlText w:val="■"/>
      <w:lvlJc w:val="left"/>
      <w:pPr>
        <w:ind w:left="2160" w:hanging="360"/>
      </w:pPr>
    </w:lvl>
    <w:lvl w:ilvl="3" w:tplc="43EE8204">
      <w:start w:val="1"/>
      <w:numFmt w:val="bullet"/>
      <w:lvlText w:val="●"/>
      <w:lvlJc w:val="left"/>
      <w:pPr>
        <w:ind w:left="2880" w:hanging="360"/>
      </w:pPr>
    </w:lvl>
    <w:lvl w:ilvl="4" w:tplc="7144976C">
      <w:start w:val="1"/>
      <w:numFmt w:val="bullet"/>
      <w:lvlText w:val="○"/>
      <w:lvlJc w:val="left"/>
      <w:pPr>
        <w:ind w:left="3600" w:hanging="360"/>
      </w:pPr>
    </w:lvl>
    <w:lvl w:ilvl="5" w:tplc="B63233FE">
      <w:start w:val="1"/>
      <w:numFmt w:val="bullet"/>
      <w:lvlText w:val="■"/>
      <w:lvlJc w:val="left"/>
      <w:pPr>
        <w:ind w:left="4320" w:hanging="360"/>
      </w:pPr>
    </w:lvl>
    <w:lvl w:ilvl="6" w:tplc="E45079F6">
      <w:start w:val="1"/>
      <w:numFmt w:val="bullet"/>
      <w:lvlText w:val="●"/>
      <w:lvlJc w:val="left"/>
      <w:pPr>
        <w:ind w:left="5040" w:hanging="360"/>
      </w:pPr>
    </w:lvl>
    <w:lvl w:ilvl="7" w:tplc="2F74D836">
      <w:start w:val="1"/>
      <w:numFmt w:val="bullet"/>
      <w:lvlText w:val="●"/>
      <w:lvlJc w:val="left"/>
      <w:pPr>
        <w:ind w:left="5760" w:hanging="360"/>
      </w:pPr>
    </w:lvl>
    <w:lvl w:ilvl="8" w:tplc="2FF06820">
      <w:start w:val="1"/>
      <w:numFmt w:val="bullet"/>
      <w:lvlText w:val="●"/>
      <w:lvlJc w:val="left"/>
      <w:pPr>
        <w:ind w:left="6480" w:hanging="360"/>
      </w:pPr>
    </w:lvl>
  </w:abstractNum>
  <w:abstractNum w:abstractNumId="12" w15:restartNumberingAfterBreak="0">
    <w:nsid w:val="45410EAD"/>
    <w:multiLevelType w:val="hybridMultilevel"/>
    <w:tmpl w:val="655E3690"/>
    <w:lvl w:ilvl="0" w:tplc="7F9E44F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122C6EC">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C8AC1B18">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CF14E58A">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9D22B058">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A6A23856">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89645088">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3E01166">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FDBE15AA">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3" w15:restartNumberingAfterBreak="0">
    <w:nsid w:val="47124462"/>
    <w:multiLevelType w:val="hybridMultilevel"/>
    <w:tmpl w:val="8E4A0E6E"/>
    <w:lvl w:ilvl="0" w:tplc="0409000F">
      <w:start w:val="1"/>
      <w:numFmt w:val="decimal"/>
      <w:lvlText w:val="%1."/>
      <w:lvlJc w:val="left"/>
      <w:pPr>
        <w:ind w:left="4608" w:hanging="360"/>
      </w:pPr>
      <w:rPr>
        <w:rFonts w:hint="default"/>
      </w:rPr>
    </w:lvl>
    <w:lvl w:ilvl="1" w:tplc="FFFFFFFF" w:tentative="1">
      <w:start w:val="1"/>
      <w:numFmt w:val="bullet"/>
      <w:lvlText w:val="o"/>
      <w:lvlJc w:val="left"/>
      <w:pPr>
        <w:ind w:left="5328" w:hanging="360"/>
      </w:pPr>
      <w:rPr>
        <w:rFonts w:ascii="Courier New" w:hAnsi="Courier New" w:cs="Courier New" w:hint="default"/>
      </w:rPr>
    </w:lvl>
    <w:lvl w:ilvl="2" w:tplc="FFFFFFFF" w:tentative="1">
      <w:start w:val="1"/>
      <w:numFmt w:val="bullet"/>
      <w:lvlText w:val=""/>
      <w:lvlJc w:val="left"/>
      <w:pPr>
        <w:ind w:left="6048" w:hanging="360"/>
      </w:pPr>
      <w:rPr>
        <w:rFonts w:ascii="Wingdings" w:hAnsi="Wingdings" w:hint="default"/>
      </w:rPr>
    </w:lvl>
    <w:lvl w:ilvl="3" w:tplc="FFFFFFFF" w:tentative="1">
      <w:start w:val="1"/>
      <w:numFmt w:val="bullet"/>
      <w:lvlText w:val=""/>
      <w:lvlJc w:val="left"/>
      <w:pPr>
        <w:ind w:left="6768" w:hanging="360"/>
      </w:pPr>
      <w:rPr>
        <w:rFonts w:ascii="Symbol" w:hAnsi="Symbol" w:hint="default"/>
      </w:rPr>
    </w:lvl>
    <w:lvl w:ilvl="4" w:tplc="FFFFFFFF" w:tentative="1">
      <w:start w:val="1"/>
      <w:numFmt w:val="bullet"/>
      <w:lvlText w:val="o"/>
      <w:lvlJc w:val="left"/>
      <w:pPr>
        <w:ind w:left="7488" w:hanging="360"/>
      </w:pPr>
      <w:rPr>
        <w:rFonts w:ascii="Courier New" w:hAnsi="Courier New" w:cs="Courier New" w:hint="default"/>
      </w:rPr>
    </w:lvl>
    <w:lvl w:ilvl="5" w:tplc="FFFFFFFF" w:tentative="1">
      <w:start w:val="1"/>
      <w:numFmt w:val="bullet"/>
      <w:lvlText w:val=""/>
      <w:lvlJc w:val="left"/>
      <w:pPr>
        <w:ind w:left="8208" w:hanging="360"/>
      </w:pPr>
      <w:rPr>
        <w:rFonts w:ascii="Wingdings" w:hAnsi="Wingdings" w:hint="default"/>
      </w:rPr>
    </w:lvl>
    <w:lvl w:ilvl="6" w:tplc="FFFFFFFF" w:tentative="1">
      <w:start w:val="1"/>
      <w:numFmt w:val="bullet"/>
      <w:lvlText w:val=""/>
      <w:lvlJc w:val="left"/>
      <w:pPr>
        <w:ind w:left="8928" w:hanging="360"/>
      </w:pPr>
      <w:rPr>
        <w:rFonts w:ascii="Symbol" w:hAnsi="Symbol" w:hint="default"/>
      </w:rPr>
    </w:lvl>
    <w:lvl w:ilvl="7" w:tplc="FFFFFFFF" w:tentative="1">
      <w:start w:val="1"/>
      <w:numFmt w:val="bullet"/>
      <w:lvlText w:val="o"/>
      <w:lvlJc w:val="left"/>
      <w:pPr>
        <w:ind w:left="9648" w:hanging="360"/>
      </w:pPr>
      <w:rPr>
        <w:rFonts w:ascii="Courier New" w:hAnsi="Courier New" w:cs="Courier New" w:hint="default"/>
      </w:rPr>
    </w:lvl>
    <w:lvl w:ilvl="8" w:tplc="FFFFFFFF" w:tentative="1">
      <w:start w:val="1"/>
      <w:numFmt w:val="bullet"/>
      <w:lvlText w:val=""/>
      <w:lvlJc w:val="left"/>
      <w:pPr>
        <w:ind w:left="10368" w:hanging="360"/>
      </w:pPr>
      <w:rPr>
        <w:rFonts w:ascii="Wingdings" w:hAnsi="Wingdings" w:hint="default"/>
      </w:rPr>
    </w:lvl>
  </w:abstractNum>
  <w:abstractNum w:abstractNumId="14" w15:restartNumberingAfterBreak="0">
    <w:nsid w:val="4A961E35"/>
    <w:multiLevelType w:val="hybridMultilevel"/>
    <w:tmpl w:val="2BEA1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F85081"/>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571D2A5D"/>
    <w:multiLevelType w:val="hybridMultilevel"/>
    <w:tmpl w:val="FAE4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861F50"/>
    <w:multiLevelType w:val="hybridMultilevel"/>
    <w:tmpl w:val="D91EFDF8"/>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18" w15:restartNumberingAfterBreak="0">
    <w:nsid w:val="5A9E180E"/>
    <w:multiLevelType w:val="hybridMultilevel"/>
    <w:tmpl w:val="EBAE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B5C12"/>
    <w:multiLevelType w:val="hybridMultilevel"/>
    <w:tmpl w:val="E154D8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60F6781F"/>
    <w:multiLevelType w:val="hybridMultilevel"/>
    <w:tmpl w:val="FED60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4369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2" w15:restartNumberingAfterBreak="0">
    <w:nsid w:val="674B6D64"/>
    <w:multiLevelType w:val="hybridMultilevel"/>
    <w:tmpl w:val="F7C63090"/>
    <w:lvl w:ilvl="0" w:tplc="0409000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3" w15:restartNumberingAfterBreak="0">
    <w:nsid w:val="6A3F32BE"/>
    <w:multiLevelType w:val="hybridMultilevel"/>
    <w:tmpl w:val="9A927A5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4" w15:restartNumberingAfterBreak="0">
    <w:nsid w:val="7CBF7ACF"/>
    <w:multiLevelType w:val="hybridMultilevel"/>
    <w:tmpl w:val="40E05D1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5" w15:restartNumberingAfterBreak="0">
    <w:nsid w:val="7CC31428"/>
    <w:multiLevelType w:val="hybridMultilevel"/>
    <w:tmpl w:val="0AE8B94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6" w15:restartNumberingAfterBreak="0">
    <w:nsid w:val="7E292BFE"/>
    <w:multiLevelType w:val="hybridMultilevel"/>
    <w:tmpl w:val="B9EC3874"/>
    <w:lvl w:ilvl="0" w:tplc="0D44360A">
      <w:start w:val="1"/>
      <w:numFmt w:val="decimal"/>
      <w:lvlText w:val="%1."/>
      <w:lvlJc w:val="left"/>
      <w:pPr>
        <w:ind w:left="65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9056D7F4">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3484F402">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9CE0DC9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FDEAF9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3C365858">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A2B21BF0">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324C02D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75D8727C">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num w:numId="1" w16cid:durableId="695079689">
    <w:abstractNumId w:val="3"/>
  </w:num>
  <w:num w:numId="2" w16cid:durableId="2049183997">
    <w:abstractNumId w:val="12"/>
  </w:num>
  <w:num w:numId="3" w16cid:durableId="1421566133">
    <w:abstractNumId w:val="26"/>
  </w:num>
  <w:num w:numId="4" w16cid:durableId="34816177">
    <w:abstractNumId w:val="8"/>
  </w:num>
  <w:num w:numId="5" w16cid:durableId="1601797464">
    <w:abstractNumId w:val="1"/>
  </w:num>
  <w:num w:numId="6" w16cid:durableId="1553034167">
    <w:abstractNumId w:val="10"/>
  </w:num>
  <w:num w:numId="7" w16cid:durableId="1453549288">
    <w:abstractNumId w:val="2"/>
  </w:num>
  <w:num w:numId="8" w16cid:durableId="323945570">
    <w:abstractNumId w:val="20"/>
  </w:num>
  <w:num w:numId="9" w16cid:durableId="1062564541">
    <w:abstractNumId w:val="0"/>
  </w:num>
  <w:num w:numId="10" w16cid:durableId="685324747">
    <w:abstractNumId w:val="23"/>
  </w:num>
  <w:num w:numId="11" w16cid:durableId="1604338972">
    <w:abstractNumId w:val="24"/>
  </w:num>
  <w:num w:numId="12" w16cid:durableId="1513377242">
    <w:abstractNumId w:val="22"/>
  </w:num>
  <w:num w:numId="13" w16cid:durableId="932665122">
    <w:abstractNumId w:val="4"/>
  </w:num>
  <w:num w:numId="14" w16cid:durableId="813253839">
    <w:abstractNumId w:val="21"/>
  </w:num>
  <w:num w:numId="15" w16cid:durableId="433092823">
    <w:abstractNumId w:val="15"/>
  </w:num>
  <w:num w:numId="16" w16cid:durableId="1294826207">
    <w:abstractNumId w:val="6"/>
  </w:num>
  <w:num w:numId="17" w16cid:durableId="1965454938">
    <w:abstractNumId w:val="5"/>
  </w:num>
  <w:num w:numId="18" w16cid:durableId="225334904">
    <w:abstractNumId w:val="25"/>
  </w:num>
  <w:num w:numId="19" w16cid:durableId="1309047560">
    <w:abstractNumId w:val="7"/>
  </w:num>
  <w:num w:numId="20" w16cid:durableId="1239317961">
    <w:abstractNumId w:val="18"/>
  </w:num>
  <w:num w:numId="21" w16cid:durableId="73091062">
    <w:abstractNumId w:val="17"/>
  </w:num>
  <w:num w:numId="22" w16cid:durableId="865600763">
    <w:abstractNumId w:val="13"/>
  </w:num>
  <w:num w:numId="23" w16cid:durableId="1864705021">
    <w:abstractNumId w:val="19"/>
  </w:num>
  <w:num w:numId="24" w16cid:durableId="1063790869">
    <w:abstractNumId w:val="16"/>
  </w:num>
  <w:num w:numId="25" w16cid:durableId="161630597">
    <w:abstractNumId w:val="14"/>
  </w:num>
  <w:num w:numId="26" w16cid:durableId="2033070022">
    <w:abstractNumId w:val="11"/>
    <w:lvlOverride w:ilvl="0">
      <w:startOverride w:val="1"/>
    </w:lvlOverride>
  </w:num>
  <w:num w:numId="27" w16cid:durableId="14795669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559"/>
    <w:rsid w:val="0002156F"/>
    <w:rsid w:val="000262C2"/>
    <w:rsid w:val="00026346"/>
    <w:rsid w:val="00046EA1"/>
    <w:rsid w:val="00046FF1"/>
    <w:rsid w:val="00051AEE"/>
    <w:rsid w:val="0006061B"/>
    <w:rsid w:val="00060FB1"/>
    <w:rsid w:val="000620D8"/>
    <w:rsid w:val="0006613C"/>
    <w:rsid w:val="000823AE"/>
    <w:rsid w:val="00092994"/>
    <w:rsid w:val="000A499E"/>
    <w:rsid w:val="000A5172"/>
    <w:rsid w:val="000B0D1D"/>
    <w:rsid w:val="000C20A6"/>
    <w:rsid w:val="000C51CA"/>
    <w:rsid w:val="000C6466"/>
    <w:rsid w:val="000D1117"/>
    <w:rsid w:val="000E22F4"/>
    <w:rsid w:val="000E3E33"/>
    <w:rsid w:val="000F30DA"/>
    <w:rsid w:val="000F462B"/>
    <w:rsid w:val="000F5D15"/>
    <w:rsid w:val="00101B3C"/>
    <w:rsid w:val="00101B73"/>
    <w:rsid w:val="00111B06"/>
    <w:rsid w:val="00116C6A"/>
    <w:rsid w:val="00127F40"/>
    <w:rsid w:val="0014353D"/>
    <w:rsid w:val="001437F8"/>
    <w:rsid w:val="00144F2E"/>
    <w:rsid w:val="001467C4"/>
    <w:rsid w:val="001620A4"/>
    <w:rsid w:val="001766A8"/>
    <w:rsid w:val="00183ABB"/>
    <w:rsid w:val="00195D37"/>
    <w:rsid w:val="001A2B5E"/>
    <w:rsid w:val="001B082E"/>
    <w:rsid w:val="001B1FE8"/>
    <w:rsid w:val="001C7375"/>
    <w:rsid w:val="001D3253"/>
    <w:rsid w:val="001E09C9"/>
    <w:rsid w:val="002051C0"/>
    <w:rsid w:val="00252CFF"/>
    <w:rsid w:val="00263694"/>
    <w:rsid w:val="0027201B"/>
    <w:rsid w:val="0027535D"/>
    <w:rsid w:val="00280EE6"/>
    <w:rsid w:val="002871B9"/>
    <w:rsid w:val="002C262F"/>
    <w:rsid w:val="002D1E37"/>
    <w:rsid w:val="002D63BD"/>
    <w:rsid w:val="002E0466"/>
    <w:rsid w:val="002E08AF"/>
    <w:rsid w:val="002E4151"/>
    <w:rsid w:val="002E5AB9"/>
    <w:rsid w:val="002F0710"/>
    <w:rsid w:val="003025A8"/>
    <w:rsid w:val="003134C1"/>
    <w:rsid w:val="00321BC1"/>
    <w:rsid w:val="003273DB"/>
    <w:rsid w:val="00330394"/>
    <w:rsid w:val="0033735D"/>
    <w:rsid w:val="00337464"/>
    <w:rsid w:val="00342A2D"/>
    <w:rsid w:val="00342DC6"/>
    <w:rsid w:val="00344B2F"/>
    <w:rsid w:val="00344C33"/>
    <w:rsid w:val="00346273"/>
    <w:rsid w:val="003518FF"/>
    <w:rsid w:val="003532C4"/>
    <w:rsid w:val="00354CD0"/>
    <w:rsid w:val="00364EDE"/>
    <w:rsid w:val="003655C1"/>
    <w:rsid w:val="003728B2"/>
    <w:rsid w:val="0037572D"/>
    <w:rsid w:val="00380B34"/>
    <w:rsid w:val="00381732"/>
    <w:rsid w:val="00384CD2"/>
    <w:rsid w:val="00387FA4"/>
    <w:rsid w:val="003A2E3A"/>
    <w:rsid w:val="003A395B"/>
    <w:rsid w:val="003A531C"/>
    <w:rsid w:val="003C0FAB"/>
    <w:rsid w:val="003D3767"/>
    <w:rsid w:val="003E22DB"/>
    <w:rsid w:val="003E5248"/>
    <w:rsid w:val="003E5BF2"/>
    <w:rsid w:val="003E6499"/>
    <w:rsid w:val="003E6F7C"/>
    <w:rsid w:val="003F5BB4"/>
    <w:rsid w:val="00400616"/>
    <w:rsid w:val="004033FB"/>
    <w:rsid w:val="00403B18"/>
    <w:rsid w:val="00404B08"/>
    <w:rsid w:val="00407CC1"/>
    <w:rsid w:val="0041262F"/>
    <w:rsid w:val="0041579D"/>
    <w:rsid w:val="00437245"/>
    <w:rsid w:val="00440BD2"/>
    <w:rsid w:val="00446F88"/>
    <w:rsid w:val="004706D5"/>
    <w:rsid w:val="004A1EB6"/>
    <w:rsid w:val="004B5292"/>
    <w:rsid w:val="004C2748"/>
    <w:rsid w:val="00501215"/>
    <w:rsid w:val="005131CC"/>
    <w:rsid w:val="0051701F"/>
    <w:rsid w:val="005204F7"/>
    <w:rsid w:val="005242E7"/>
    <w:rsid w:val="00524853"/>
    <w:rsid w:val="00524B48"/>
    <w:rsid w:val="00541DC1"/>
    <w:rsid w:val="0054397F"/>
    <w:rsid w:val="005526CB"/>
    <w:rsid w:val="005531D6"/>
    <w:rsid w:val="00557CE1"/>
    <w:rsid w:val="00561D29"/>
    <w:rsid w:val="005640CF"/>
    <w:rsid w:val="005731DD"/>
    <w:rsid w:val="00573A0E"/>
    <w:rsid w:val="00576225"/>
    <w:rsid w:val="00584D67"/>
    <w:rsid w:val="005856F9"/>
    <w:rsid w:val="005870C0"/>
    <w:rsid w:val="005949BB"/>
    <w:rsid w:val="0059580B"/>
    <w:rsid w:val="005B0307"/>
    <w:rsid w:val="005B19EC"/>
    <w:rsid w:val="005B34C4"/>
    <w:rsid w:val="005C5EAF"/>
    <w:rsid w:val="005D7207"/>
    <w:rsid w:val="005E6258"/>
    <w:rsid w:val="005E72DF"/>
    <w:rsid w:val="005F1C98"/>
    <w:rsid w:val="005F267A"/>
    <w:rsid w:val="005F7F25"/>
    <w:rsid w:val="006042D5"/>
    <w:rsid w:val="00623806"/>
    <w:rsid w:val="00631B1C"/>
    <w:rsid w:val="006342EB"/>
    <w:rsid w:val="00665F47"/>
    <w:rsid w:val="00673BDC"/>
    <w:rsid w:val="00674D9D"/>
    <w:rsid w:val="00677F02"/>
    <w:rsid w:val="006837EA"/>
    <w:rsid w:val="00686A2F"/>
    <w:rsid w:val="00690941"/>
    <w:rsid w:val="00694724"/>
    <w:rsid w:val="0069553E"/>
    <w:rsid w:val="006957AC"/>
    <w:rsid w:val="006A4EB9"/>
    <w:rsid w:val="006A6D23"/>
    <w:rsid w:val="006A6F0A"/>
    <w:rsid w:val="006A7E7F"/>
    <w:rsid w:val="006B2BC6"/>
    <w:rsid w:val="006B7336"/>
    <w:rsid w:val="006B7FEA"/>
    <w:rsid w:val="006C122F"/>
    <w:rsid w:val="006C5EEC"/>
    <w:rsid w:val="006D7F33"/>
    <w:rsid w:val="006E5A28"/>
    <w:rsid w:val="006F245A"/>
    <w:rsid w:val="006F2B23"/>
    <w:rsid w:val="007006B3"/>
    <w:rsid w:val="00725344"/>
    <w:rsid w:val="00741687"/>
    <w:rsid w:val="00750ABA"/>
    <w:rsid w:val="00752343"/>
    <w:rsid w:val="0076385B"/>
    <w:rsid w:val="0077192D"/>
    <w:rsid w:val="007731BC"/>
    <w:rsid w:val="0077349E"/>
    <w:rsid w:val="00773DEF"/>
    <w:rsid w:val="0077497C"/>
    <w:rsid w:val="00776BC2"/>
    <w:rsid w:val="0078571A"/>
    <w:rsid w:val="00785ADA"/>
    <w:rsid w:val="00796CAA"/>
    <w:rsid w:val="007B25E8"/>
    <w:rsid w:val="007B2FE1"/>
    <w:rsid w:val="007B400D"/>
    <w:rsid w:val="007C1F8B"/>
    <w:rsid w:val="007C7D8B"/>
    <w:rsid w:val="007D6FFF"/>
    <w:rsid w:val="007D77AB"/>
    <w:rsid w:val="007E7E2C"/>
    <w:rsid w:val="007F12D5"/>
    <w:rsid w:val="0080594E"/>
    <w:rsid w:val="008101FA"/>
    <w:rsid w:val="00820CCB"/>
    <w:rsid w:val="00822900"/>
    <w:rsid w:val="00852FBB"/>
    <w:rsid w:val="00856FBD"/>
    <w:rsid w:val="00872B98"/>
    <w:rsid w:val="00875A55"/>
    <w:rsid w:val="008878BC"/>
    <w:rsid w:val="00895CC2"/>
    <w:rsid w:val="008A6B6E"/>
    <w:rsid w:val="008A7952"/>
    <w:rsid w:val="008A7BD5"/>
    <w:rsid w:val="008B0847"/>
    <w:rsid w:val="008B6061"/>
    <w:rsid w:val="008C3A53"/>
    <w:rsid w:val="008C76BE"/>
    <w:rsid w:val="008D1377"/>
    <w:rsid w:val="00911E75"/>
    <w:rsid w:val="009154FD"/>
    <w:rsid w:val="00915823"/>
    <w:rsid w:val="0092756C"/>
    <w:rsid w:val="00932008"/>
    <w:rsid w:val="0093301C"/>
    <w:rsid w:val="00943FB4"/>
    <w:rsid w:val="00953607"/>
    <w:rsid w:val="00960F2C"/>
    <w:rsid w:val="0096714E"/>
    <w:rsid w:val="00967233"/>
    <w:rsid w:val="00970DEB"/>
    <w:rsid w:val="00977723"/>
    <w:rsid w:val="00987E86"/>
    <w:rsid w:val="009B17EE"/>
    <w:rsid w:val="009B6F4F"/>
    <w:rsid w:val="009D38E9"/>
    <w:rsid w:val="00A04675"/>
    <w:rsid w:val="00A05EE1"/>
    <w:rsid w:val="00A06909"/>
    <w:rsid w:val="00A11A20"/>
    <w:rsid w:val="00A1426F"/>
    <w:rsid w:val="00A228CF"/>
    <w:rsid w:val="00A26E5F"/>
    <w:rsid w:val="00A351C6"/>
    <w:rsid w:val="00A356C2"/>
    <w:rsid w:val="00A60313"/>
    <w:rsid w:val="00A60999"/>
    <w:rsid w:val="00A650DF"/>
    <w:rsid w:val="00A678D7"/>
    <w:rsid w:val="00A7285A"/>
    <w:rsid w:val="00A7467C"/>
    <w:rsid w:val="00A769A0"/>
    <w:rsid w:val="00A83BF8"/>
    <w:rsid w:val="00A927EC"/>
    <w:rsid w:val="00A9526B"/>
    <w:rsid w:val="00AA127A"/>
    <w:rsid w:val="00AA1E2A"/>
    <w:rsid w:val="00AA1F1E"/>
    <w:rsid w:val="00AB25C5"/>
    <w:rsid w:val="00AF0B22"/>
    <w:rsid w:val="00AF3DD6"/>
    <w:rsid w:val="00B12406"/>
    <w:rsid w:val="00B13A82"/>
    <w:rsid w:val="00B1685E"/>
    <w:rsid w:val="00B33829"/>
    <w:rsid w:val="00B37E8E"/>
    <w:rsid w:val="00B56D26"/>
    <w:rsid w:val="00B7632E"/>
    <w:rsid w:val="00B7673C"/>
    <w:rsid w:val="00B76975"/>
    <w:rsid w:val="00B838CF"/>
    <w:rsid w:val="00B94559"/>
    <w:rsid w:val="00B95D41"/>
    <w:rsid w:val="00B96B80"/>
    <w:rsid w:val="00B9721A"/>
    <w:rsid w:val="00BA0DFE"/>
    <w:rsid w:val="00BA4596"/>
    <w:rsid w:val="00BA6DB1"/>
    <w:rsid w:val="00BC0D39"/>
    <w:rsid w:val="00BC3724"/>
    <w:rsid w:val="00BC53E3"/>
    <w:rsid w:val="00BD6961"/>
    <w:rsid w:val="00BE02C6"/>
    <w:rsid w:val="00BE3380"/>
    <w:rsid w:val="00BF54E2"/>
    <w:rsid w:val="00C01C0A"/>
    <w:rsid w:val="00C1556B"/>
    <w:rsid w:val="00C16C71"/>
    <w:rsid w:val="00C43B8C"/>
    <w:rsid w:val="00C442CA"/>
    <w:rsid w:val="00C4696E"/>
    <w:rsid w:val="00C53425"/>
    <w:rsid w:val="00C57678"/>
    <w:rsid w:val="00C658BF"/>
    <w:rsid w:val="00C67ADA"/>
    <w:rsid w:val="00C77956"/>
    <w:rsid w:val="00C936BC"/>
    <w:rsid w:val="00CA01F3"/>
    <w:rsid w:val="00CB06E3"/>
    <w:rsid w:val="00CC666E"/>
    <w:rsid w:val="00CD0629"/>
    <w:rsid w:val="00CE295A"/>
    <w:rsid w:val="00CE39D2"/>
    <w:rsid w:val="00CE630E"/>
    <w:rsid w:val="00CE6F49"/>
    <w:rsid w:val="00CF6B89"/>
    <w:rsid w:val="00D06DC8"/>
    <w:rsid w:val="00D073E9"/>
    <w:rsid w:val="00D253E1"/>
    <w:rsid w:val="00D30BDD"/>
    <w:rsid w:val="00D371D6"/>
    <w:rsid w:val="00D378FE"/>
    <w:rsid w:val="00D5659B"/>
    <w:rsid w:val="00D66982"/>
    <w:rsid w:val="00D70F5D"/>
    <w:rsid w:val="00D76E94"/>
    <w:rsid w:val="00D808C3"/>
    <w:rsid w:val="00D80952"/>
    <w:rsid w:val="00D965B9"/>
    <w:rsid w:val="00DA47EE"/>
    <w:rsid w:val="00DA5A2D"/>
    <w:rsid w:val="00DD6BC4"/>
    <w:rsid w:val="00DD6D33"/>
    <w:rsid w:val="00DD77B3"/>
    <w:rsid w:val="00DE5C31"/>
    <w:rsid w:val="00DF41D2"/>
    <w:rsid w:val="00E02F76"/>
    <w:rsid w:val="00E05459"/>
    <w:rsid w:val="00E168A2"/>
    <w:rsid w:val="00E21E38"/>
    <w:rsid w:val="00E30972"/>
    <w:rsid w:val="00E34593"/>
    <w:rsid w:val="00E424C3"/>
    <w:rsid w:val="00E4275D"/>
    <w:rsid w:val="00E4363A"/>
    <w:rsid w:val="00E539FA"/>
    <w:rsid w:val="00E547DF"/>
    <w:rsid w:val="00E569A9"/>
    <w:rsid w:val="00E64AAE"/>
    <w:rsid w:val="00E651C4"/>
    <w:rsid w:val="00E759AC"/>
    <w:rsid w:val="00E8295A"/>
    <w:rsid w:val="00E964F4"/>
    <w:rsid w:val="00EA2AFA"/>
    <w:rsid w:val="00EB389F"/>
    <w:rsid w:val="00EC2F00"/>
    <w:rsid w:val="00EC3D20"/>
    <w:rsid w:val="00EC47D6"/>
    <w:rsid w:val="00EC7ABC"/>
    <w:rsid w:val="00ED3559"/>
    <w:rsid w:val="00ED3702"/>
    <w:rsid w:val="00ED5715"/>
    <w:rsid w:val="00F0086D"/>
    <w:rsid w:val="00F0131B"/>
    <w:rsid w:val="00F16BCC"/>
    <w:rsid w:val="00F20F32"/>
    <w:rsid w:val="00F4006E"/>
    <w:rsid w:val="00F47825"/>
    <w:rsid w:val="00F5533B"/>
    <w:rsid w:val="00F56ADD"/>
    <w:rsid w:val="00F62E6C"/>
    <w:rsid w:val="00F679D3"/>
    <w:rsid w:val="00F72AF3"/>
    <w:rsid w:val="00F750AF"/>
    <w:rsid w:val="00F80B70"/>
    <w:rsid w:val="00F82837"/>
    <w:rsid w:val="00F83F00"/>
    <w:rsid w:val="00F86A40"/>
    <w:rsid w:val="00F86DDA"/>
    <w:rsid w:val="00FB0BAB"/>
    <w:rsid w:val="00FC7A11"/>
    <w:rsid w:val="00FD71BB"/>
    <w:rsid w:val="136DB3F5"/>
    <w:rsid w:val="176576B3"/>
    <w:rsid w:val="308D9D7E"/>
    <w:rsid w:val="357DC60F"/>
    <w:rsid w:val="3E7CFD3B"/>
    <w:rsid w:val="443C2487"/>
    <w:rsid w:val="49FD660A"/>
    <w:rsid w:val="53262E6B"/>
    <w:rsid w:val="578A704C"/>
    <w:rsid w:val="5A357B05"/>
    <w:rsid w:val="621520DE"/>
    <w:rsid w:val="622D11A6"/>
    <w:rsid w:val="639D323F"/>
    <w:rsid w:val="6424FAAE"/>
    <w:rsid w:val="6CC19BC8"/>
    <w:rsid w:val="6D4BFB13"/>
    <w:rsid w:val="6F3A350A"/>
    <w:rsid w:val="777614F7"/>
    <w:rsid w:val="7C15D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328A2"/>
  <w15:docId w15:val="{C68B7F16-DB37-46B3-B82A-38C7B25FE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A2D"/>
    <w:pPr>
      <w:spacing w:before="120" w:after="120" w:line="269" w:lineRule="auto"/>
    </w:pPr>
    <w:rPr>
      <w:rFonts w:ascii="Arial" w:eastAsia="Microsoft Sans Serif" w:hAnsi="Arial" w:cs="Arial"/>
      <w:color w:val="171A1C"/>
      <w:sz w:val="24"/>
    </w:rPr>
  </w:style>
  <w:style w:type="paragraph" w:styleId="Heading1">
    <w:name w:val="heading 1"/>
    <w:basedOn w:val="Normal"/>
    <w:next w:val="Normal"/>
    <w:link w:val="Heading1Char"/>
    <w:uiPriority w:val="9"/>
    <w:qFormat/>
    <w:rsid w:val="002E4151"/>
    <w:pPr>
      <w:spacing w:before="59"/>
      <w:outlineLvl w:val="0"/>
    </w:pPr>
    <w:rPr>
      <w:b/>
      <w:color w:val="1F8B9D" w:themeColor="accent6"/>
      <w:sz w:val="36"/>
      <w:szCs w:val="28"/>
    </w:rPr>
  </w:style>
  <w:style w:type="paragraph" w:styleId="Heading2">
    <w:name w:val="heading 2"/>
    <w:link w:val="Heading2Char"/>
    <w:uiPriority w:val="9"/>
    <w:unhideWhenUsed/>
    <w:qFormat/>
    <w:rsid w:val="00342A2D"/>
    <w:pPr>
      <w:keepNext/>
      <w:keepLines/>
      <w:spacing w:before="120" w:after="120"/>
      <w:outlineLvl w:val="1"/>
    </w:pPr>
    <w:rPr>
      <w:rFonts w:ascii="Arial" w:eastAsia="Microsoft Sans Serif" w:hAnsi="Arial" w:cs="Microsoft Sans Serif"/>
      <w:b/>
      <w:color w:val="12171D" w:themeColor="background2" w:themeShade="1A"/>
      <w:sz w:val="28"/>
    </w:rPr>
  </w:style>
  <w:style w:type="paragraph" w:styleId="Heading3">
    <w:name w:val="heading 3"/>
    <w:next w:val="Normal"/>
    <w:link w:val="Heading3Char"/>
    <w:uiPriority w:val="9"/>
    <w:unhideWhenUsed/>
    <w:qFormat/>
    <w:rsid w:val="00B9721A"/>
    <w:pPr>
      <w:keepNext/>
      <w:keepLines/>
      <w:spacing w:before="400" w:after="80"/>
      <w:ind w:left="14" w:hanging="14"/>
      <w:outlineLvl w:val="2"/>
    </w:pPr>
    <w:rPr>
      <w:rFonts w:ascii="Arial" w:eastAsia="Microsoft Sans Serif" w:hAnsi="Arial" w:cs="Microsoft Sans Serif"/>
      <w:b/>
      <w:caps/>
      <w:color w:val="1F8B9D" w:themeColor="accent6"/>
      <w:sz w:val="24"/>
    </w:rPr>
  </w:style>
  <w:style w:type="paragraph" w:styleId="Heading4">
    <w:name w:val="heading 4"/>
    <w:basedOn w:val="Normal"/>
    <w:next w:val="Normal"/>
    <w:link w:val="Heading4Char"/>
    <w:uiPriority w:val="9"/>
    <w:unhideWhenUsed/>
    <w:qFormat/>
    <w:rsid w:val="00B9721A"/>
    <w:pPr>
      <w:keepNext/>
      <w:keepLines/>
      <w:spacing w:before="400" w:after="50"/>
      <w:ind w:left="1036"/>
      <w:outlineLvl w:val="3"/>
    </w:pPr>
    <w:rPr>
      <w:rFonts w:eastAsiaTheme="majorEastAsia" w:cstheme="majorBidi"/>
      <w:b/>
      <w:iCs/>
      <w:caps/>
      <w:color w:val="00AEC7" w:themeColor="accent1"/>
    </w:rPr>
  </w:style>
  <w:style w:type="paragraph" w:styleId="Heading5">
    <w:name w:val="heading 5"/>
    <w:basedOn w:val="Normal"/>
    <w:next w:val="Normal"/>
    <w:link w:val="Heading5Char"/>
    <w:uiPriority w:val="9"/>
    <w:unhideWhenUsed/>
    <w:qFormat/>
    <w:rsid w:val="002871B9"/>
    <w:pPr>
      <w:keepNext/>
      <w:keepLines/>
      <w:spacing w:before="400" w:after="50"/>
      <w:ind w:left="1036"/>
      <w:outlineLvl w:val="4"/>
    </w:pPr>
    <w:rPr>
      <w:rFonts w:eastAsiaTheme="majorEastAsia" w:cstheme="majorBidi"/>
      <w:color w:val="5B677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B9721A"/>
    <w:rPr>
      <w:rFonts w:ascii="Arial" w:eastAsia="Microsoft Sans Serif" w:hAnsi="Arial" w:cs="Microsoft Sans Serif"/>
      <w:b/>
      <w:caps/>
      <w:color w:val="1F8B9D" w:themeColor="accent6"/>
      <w:sz w:val="24"/>
    </w:rPr>
  </w:style>
  <w:style w:type="character" w:customStyle="1" w:styleId="Heading2Char">
    <w:name w:val="Heading 2 Char"/>
    <w:link w:val="Heading2"/>
    <w:uiPriority w:val="9"/>
    <w:rsid w:val="00342A2D"/>
    <w:rPr>
      <w:rFonts w:ascii="Arial" w:eastAsia="Microsoft Sans Serif" w:hAnsi="Arial" w:cs="Microsoft Sans Serif"/>
      <w:b/>
      <w:color w:val="12171D" w:themeColor="background2" w:themeShade="1A"/>
      <w:sz w:val="28"/>
    </w:rPr>
  </w:style>
  <w:style w:type="character" w:customStyle="1" w:styleId="Heading1Char">
    <w:name w:val="Heading 1 Char"/>
    <w:link w:val="Heading1"/>
    <w:uiPriority w:val="9"/>
    <w:rsid w:val="002E4151"/>
    <w:rPr>
      <w:rFonts w:ascii="Arial" w:eastAsia="Microsoft Sans Serif" w:hAnsi="Arial" w:cs="Microsoft Sans Serif"/>
      <w:b/>
      <w:color w:val="1F8B9D" w:themeColor="accent6"/>
      <w:sz w:val="36"/>
      <w:szCs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96CAA"/>
    <w:rPr>
      <w:color w:val="808080"/>
    </w:rPr>
  </w:style>
  <w:style w:type="paragraph" w:customStyle="1" w:styleId="FooterTextLeft">
    <w:name w:val="Footer Text Left"/>
    <w:basedOn w:val="Normal"/>
    <w:qFormat/>
    <w:rsid w:val="00342A2D"/>
    <w:pPr>
      <w:tabs>
        <w:tab w:val="right" w:pos="9937"/>
      </w:tabs>
      <w:spacing w:before="0" w:after="0" w:line="240" w:lineRule="auto"/>
    </w:pPr>
    <w:rPr>
      <w:rFonts w:eastAsia="Calibri" w:cs="Calibri"/>
      <w:noProof/>
      <w:color w:val="12171D" w:themeColor="background2" w:themeShade="1A"/>
      <w:sz w:val="20"/>
    </w:rPr>
  </w:style>
  <w:style w:type="paragraph" w:customStyle="1" w:styleId="FooterTextRight">
    <w:name w:val="Footer Text Right"/>
    <w:basedOn w:val="FooterTextLeft"/>
    <w:qFormat/>
    <w:rsid w:val="00796CAA"/>
    <w:pPr>
      <w:jc w:val="right"/>
    </w:pPr>
  </w:style>
  <w:style w:type="paragraph" w:styleId="Footer">
    <w:name w:val="footer"/>
    <w:basedOn w:val="Normal"/>
    <w:link w:val="FooterChar"/>
    <w:uiPriority w:val="99"/>
    <w:unhideWhenUsed/>
    <w:rsid w:val="001437F8"/>
    <w:pPr>
      <w:tabs>
        <w:tab w:val="center" w:pos="4680"/>
        <w:tab w:val="right" w:pos="9360"/>
      </w:tabs>
      <w:spacing w:after="0" w:line="240" w:lineRule="auto"/>
    </w:pPr>
    <w:rPr>
      <w:rFonts w:eastAsiaTheme="minorEastAsia" w:cs="Times New Roman"/>
      <w:color w:val="auto"/>
      <w:sz w:val="22"/>
    </w:rPr>
  </w:style>
  <w:style w:type="character" w:customStyle="1" w:styleId="FooterChar">
    <w:name w:val="Footer Char"/>
    <w:basedOn w:val="DefaultParagraphFont"/>
    <w:link w:val="Footer"/>
    <w:uiPriority w:val="99"/>
    <w:rsid w:val="001437F8"/>
    <w:rPr>
      <w:rFonts w:ascii="Roboto" w:hAnsi="Roboto" w:cs="Times New Roman"/>
    </w:rPr>
  </w:style>
  <w:style w:type="paragraph" w:styleId="NoSpacing">
    <w:name w:val="No Spacing"/>
    <w:link w:val="NoSpacingChar"/>
    <w:uiPriority w:val="1"/>
    <w:qFormat/>
    <w:rsid w:val="007B2FE1"/>
    <w:pPr>
      <w:spacing w:after="0" w:line="240" w:lineRule="auto"/>
      <w:ind w:left="1030" w:hanging="10"/>
    </w:pPr>
    <w:rPr>
      <w:rFonts w:ascii="Roboto" w:eastAsia="Microsoft Sans Serif" w:hAnsi="Roboto" w:cs="Microsoft Sans Serif"/>
      <w:color w:val="2D3338"/>
      <w:sz w:val="26"/>
    </w:rPr>
  </w:style>
  <w:style w:type="character" w:customStyle="1" w:styleId="Heading4Char">
    <w:name w:val="Heading 4 Char"/>
    <w:basedOn w:val="DefaultParagraphFont"/>
    <w:link w:val="Heading4"/>
    <w:uiPriority w:val="9"/>
    <w:rsid w:val="00B9721A"/>
    <w:rPr>
      <w:rFonts w:ascii="Arial" w:eastAsiaTheme="majorEastAsia" w:hAnsi="Arial" w:cstheme="majorBidi"/>
      <w:b/>
      <w:iCs/>
      <w:caps/>
      <w:color w:val="00AEC7" w:themeColor="accent1"/>
      <w:sz w:val="24"/>
    </w:rPr>
  </w:style>
  <w:style w:type="character" w:customStyle="1" w:styleId="NoSpacingChar">
    <w:name w:val="No Spacing Char"/>
    <w:basedOn w:val="DefaultParagraphFont"/>
    <w:link w:val="NoSpacing"/>
    <w:uiPriority w:val="1"/>
    <w:rsid w:val="00A769A0"/>
    <w:rPr>
      <w:rFonts w:ascii="Roboto" w:eastAsia="Microsoft Sans Serif" w:hAnsi="Roboto" w:cs="Microsoft Sans Serif"/>
      <w:color w:val="2D3338"/>
      <w:sz w:val="26"/>
    </w:rPr>
  </w:style>
  <w:style w:type="paragraph" w:styleId="Title">
    <w:name w:val="Title"/>
    <w:basedOn w:val="Normal"/>
    <w:next w:val="Normal"/>
    <w:link w:val="TitleChar"/>
    <w:uiPriority w:val="10"/>
    <w:rsid w:val="002D63BD"/>
    <w:pPr>
      <w:spacing w:after="0" w:line="240" w:lineRule="auto"/>
      <w:contextualSpacing/>
    </w:pPr>
    <w:rPr>
      <w:rFonts w:eastAsiaTheme="majorEastAsia" w:cstheme="majorBidi"/>
      <w:b/>
      <w:color w:val="2D3338"/>
      <w:spacing w:val="-10"/>
      <w:kern w:val="28"/>
      <w:sz w:val="44"/>
      <w:szCs w:val="56"/>
    </w:rPr>
  </w:style>
  <w:style w:type="character" w:customStyle="1" w:styleId="TitleChar">
    <w:name w:val="Title Char"/>
    <w:basedOn w:val="DefaultParagraphFont"/>
    <w:link w:val="Title"/>
    <w:uiPriority w:val="10"/>
    <w:rsid w:val="002D63BD"/>
    <w:rPr>
      <w:rFonts w:ascii="Roboto" w:eastAsiaTheme="majorEastAsia" w:hAnsi="Roboto" w:cstheme="majorBidi"/>
      <w:b/>
      <w:color w:val="2D3338"/>
      <w:spacing w:val="-10"/>
      <w:kern w:val="28"/>
      <w:sz w:val="44"/>
      <w:szCs w:val="56"/>
    </w:rPr>
  </w:style>
  <w:style w:type="paragraph" w:styleId="Subtitle">
    <w:name w:val="Subtitle"/>
    <w:basedOn w:val="Normal"/>
    <w:next w:val="Normal"/>
    <w:link w:val="SubtitleChar"/>
    <w:uiPriority w:val="11"/>
    <w:qFormat/>
    <w:rsid w:val="00AB25C5"/>
    <w:pPr>
      <w:numPr>
        <w:ilvl w:val="1"/>
      </w:numPr>
      <w:spacing w:after="160"/>
      <w:ind w:left="1030" w:hanging="10"/>
    </w:pPr>
    <w:rPr>
      <w:rFonts w:eastAsiaTheme="minorEastAsia" w:cstheme="minorBidi"/>
      <w:b/>
      <w:color w:val="2D3338"/>
      <w:spacing w:val="15"/>
    </w:rPr>
  </w:style>
  <w:style w:type="character" w:customStyle="1" w:styleId="SubtitleChar">
    <w:name w:val="Subtitle Char"/>
    <w:basedOn w:val="DefaultParagraphFont"/>
    <w:link w:val="Subtitle"/>
    <w:uiPriority w:val="11"/>
    <w:rsid w:val="00AB25C5"/>
    <w:rPr>
      <w:rFonts w:ascii="Roboto" w:hAnsi="Roboto"/>
      <w:b/>
      <w:color w:val="2D3338"/>
      <w:spacing w:val="15"/>
      <w:sz w:val="24"/>
    </w:rPr>
  </w:style>
  <w:style w:type="character" w:styleId="SubtleEmphasis">
    <w:name w:val="Subtle Emphasis"/>
    <w:basedOn w:val="DefaultParagraphFont"/>
    <w:uiPriority w:val="19"/>
    <w:qFormat/>
    <w:rsid w:val="00AB25C5"/>
    <w:rPr>
      <w:i/>
      <w:iCs/>
      <w:color w:val="2D3338"/>
    </w:rPr>
  </w:style>
  <w:style w:type="character" w:styleId="Emphasis">
    <w:name w:val="Emphasis"/>
    <w:basedOn w:val="DefaultParagraphFont"/>
    <w:uiPriority w:val="20"/>
    <w:qFormat/>
    <w:rsid w:val="00B7673C"/>
    <w:rPr>
      <w:i/>
      <w:iCs/>
      <w:color w:val="2D3338"/>
    </w:rPr>
  </w:style>
  <w:style w:type="character" w:styleId="IntenseEmphasis">
    <w:name w:val="Intense Emphasis"/>
    <w:basedOn w:val="DefaultParagraphFont"/>
    <w:uiPriority w:val="21"/>
    <w:qFormat/>
    <w:rsid w:val="00B7673C"/>
    <w:rPr>
      <w:i/>
      <w:iCs/>
      <w:color w:val="1F8B9D"/>
    </w:rPr>
  </w:style>
  <w:style w:type="character" w:styleId="Strong">
    <w:name w:val="Strong"/>
    <w:basedOn w:val="DefaultParagraphFont"/>
    <w:uiPriority w:val="22"/>
    <w:qFormat/>
    <w:rsid w:val="00111B06"/>
    <w:rPr>
      <w:b/>
      <w:bCs/>
      <w:color w:val="2D3338"/>
    </w:rPr>
  </w:style>
  <w:style w:type="paragraph" w:styleId="IntenseQuote">
    <w:name w:val="Intense Quote"/>
    <w:basedOn w:val="Normal"/>
    <w:next w:val="Normal"/>
    <w:link w:val="IntenseQuoteChar"/>
    <w:uiPriority w:val="30"/>
    <w:qFormat/>
    <w:rsid w:val="00111B06"/>
    <w:pPr>
      <w:pBdr>
        <w:left w:val="single" w:sz="4" w:space="20" w:color="1F8B9D"/>
      </w:pBdr>
      <w:shd w:val="clear" w:color="auto" w:fill="F2F2F2" w:themeFill="background1" w:themeFillShade="F2"/>
      <w:spacing w:before="360" w:after="360"/>
      <w:ind w:left="864" w:right="864"/>
    </w:pPr>
    <w:rPr>
      <w:iCs/>
      <w:color w:val="00AEC7"/>
    </w:rPr>
  </w:style>
  <w:style w:type="character" w:customStyle="1" w:styleId="IntenseQuoteChar">
    <w:name w:val="Intense Quote Char"/>
    <w:basedOn w:val="DefaultParagraphFont"/>
    <w:link w:val="IntenseQuote"/>
    <w:uiPriority w:val="30"/>
    <w:rsid w:val="00111B06"/>
    <w:rPr>
      <w:rFonts w:ascii="Roboto" w:eastAsia="Microsoft Sans Serif" w:hAnsi="Roboto" w:cs="Microsoft Sans Serif"/>
      <w:iCs/>
      <w:color w:val="00AEC7"/>
      <w:sz w:val="26"/>
      <w:shd w:val="clear" w:color="auto" w:fill="F2F2F2" w:themeFill="background1" w:themeFillShade="F2"/>
    </w:rPr>
  </w:style>
  <w:style w:type="paragraph" w:customStyle="1" w:styleId="CoverTitle">
    <w:name w:val="Cover Title"/>
    <w:basedOn w:val="Normal"/>
    <w:qFormat/>
    <w:rsid w:val="00EC3D20"/>
    <w:pPr>
      <w:spacing w:after="160" w:line="259" w:lineRule="auto"/>
    </w:pPr>
    <w:rPr>
      <w:b/>
      <w:color w:val="2D3338" w:themeColor="text1"/>
      <w:sz w:val="48"/>
      <w:szCs w:val="56"/>
    </w:rPr>
  </w:style>
  <w:style w:type="character" w:styleId="IntenseReference">
    <w:name w:val="Intense Reference"/>
    <w:basedOn w:val="DefaultParagraphFont"/>
    <w:uiPriority w:val="32"/>
    <w:qFormat/>
    <w:rsid w:val="002D63BD"/>
    <w:rPr>
      <w:b/>
      <w:bCs/>
      <w:caps/>
      <w:smallCaps w:val="0"/>
      <w:color w:val="00AEC7" w:themeColor="accent1"/>
      <w:spacing w:val="5"/>
    </w:rPr>
  </w:style>
  <w:style w:type="character" w:styleId="BookTitle">
    <w:name w:val="Book Title"/>
    <w:basedOn w:val="DefaultParagraphFont"/>
    <w:uiPriority w:val="33"/>
    <w:qFormat/>
    <w:rsid w:val="002D63BD"/>
    <w:rPr>
      <w:b/>
      <w:bCs/>
      <w:i/>
      <w:iCs/>
      <w:color w:val="2D3338"/>
      <w:spacing w:val="5"/>
    </w:rPr>
  </w:style>
  <w:style w:type="paragraph" w:styleId="ListParagraph">
    <w:name w:val="List Paragraph"/>
    <w:basedOn w:val="Normal"/>
    <w:qFormat/>
    <w:rsid w:val="001467C4"/>
    <w:pPr>
      <w:spacing w:before="50" w:line="300" w:lineRule="auto"/>
      <w:ind w:left="994" w:hanging="288"/>
      <w:contextualSpacing/>
    </w:pPr>
  </w:style>
  <w:style w:type="character" w:styleId="SubtleReference">
    <w:name w:val="Subtle Reference"/>
    <w:basedOn w:val="DefaultParagraphFont"/>
    <w:uiPriority w:val="31"/>
    <w:qFormat/>
    <w:rsid w:val="000C6466"/>
    <w:rPr>
      <w:b/>
      <w:caps/>
      <w:smallCaps w:val="0"/>
      <w:color w:val="6D7B87" w:themeColor="text1" w:themeTint="A5"/>
    </w:rPr>
  </w:style>
  <w:style w:type="paragraph" w:styleId="Header">
    <w:name w:val="header"/>
    <w:basedOn w:val="Normal"/>
    <w:link w:val="HeaderChar"/>
    <w:uiPriority w:val="99"/>
    <w:unhideWhenUsed/>
    <w:rsid w:val="00342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DC6"/>
    <w:rPr>
      <w:rFonts w:ascii="Roboto" w:eastAsia="Microsoft Sans Serif" w:hAnsi="Roboto" w:cs="Microsoft Sans Serif"/>
      <w:color w:val="171A1C"/>
      <w:sz w:val="26"/>
    </w:rPr>
  </w:style>
  <w:style w:type="character" w:customStyle="1" w:styleId="Heading5Char">
    <w:name w:val="Heading 5 Char"/>
    <w:basedOn w:val="DefaultParagraphFont"/>
    <w:link w:val="Heading5"/>
    <w:uiPriority w:val="9"/>
    <w:rsid w:val="002871B9"/>
    <w:rPr>
      <w:rFonts w:ascii="Arial" w:eastAsiaTheme="majorEastAsia" w:hAnsi="Arial" w:cstheme="majorBidi"/>
      <w:color w:val="5B6770"/>
      <w:sz w:val="24"/>
    </w:rPr>
  </w:style>
  <w:style w:type="paragraph" w:customStyle="1" w:styleId="Notetext">
    <w:name w:val="Note text"/>
    <w:basedOn w:val="Normal"/>
    <w:rsid w:val="005B34C4"/>
    <w:pPr>
      <w:pBdr>
        <w:left w:val="single" w:sz="12" w:space="10" w:color="00AEC7" w:themeColor="accent1"/>
      </w:pBdr>
      <w:spacing w:after="0"/>
      <w:ind w:left="662"/>
    </w:pPr>
    <w:rPr>
      <w:color w:val="2D3338"/>
      <w:szCs w:val="24"/>
    </w:rPr>
  </w:style>
  <w:style w:type="paragraph" w:customStyle="1" w:styleId="TableHeaderTitle">
    <w:name w:val="Table Header Title"/>
    <w:basedOn w:val="Normal"/>
    <w:qFormat/>
    <w:rsid w:val="000823AE"/>
    <w:pPr>
      <w:spacing w:after="0" w:line="259" w:lineRule="auto"/>
      <w:ind w:left="47"/>
    </w:pPr>
    <w:rPr>
      <w:b/>
      <w:bCs/>
      <w:color w:val="FFFFFF"/>
      <w:szCs w:val="24"/>
    </w:rPr>
  </w:style>
  <w:style w:type="table" w:customStyle="1" w:styleId="ERCOTtable">
    <w:name w:val="ERCOT table"/>
    <w:basedOn w:val="TableNormal"/>
    <w:uiPriority w:val="99"/>
    <w:rsid w:val="007B400D"/>
    <w:pPr>
      <w:spacing w:before="3" w:after="3" w:line="240" w:lineRule="auto"/>
      <w:ind w:left="216" w:right="216"/>
    </w:pPr>
    <w:rPr>
      <w:rFonts w:ascii="Roboto" w:hAnsi="Roboto"/>
      <w:color w:val="2D3338"/>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Pr>
    <w:tcPr>
      <w:shd w:val="clear" w:color="auto" w:fill="F2F2F2" w:themeFill="background1" w:themeFillShade="F2"/>
    </w:tcPr>
  </w:style>
  <w:style w:type="paragraph" w:styleId="TOCHeading">
    <w:name w:val="TOC Heading"/>
    <w:next w:val="Normal"/>
    <w:uiPriority w:val="39"/>
    <w:unhideWhenUsed/>
    <w:rsid w:val="0002156F"/>
    <w:pPr>
      <w:spacing w:before="240" w:after="0"/>
    </w:pPr>
    <w:rPr>
      <w:rFonts w:ascii="Arial" w:eastAsiaTheme="majorEastAsia" w:hAnsi="Arial" w:cstheme="majorBidi"/>
      <w:color w:val="2D3338" w:themeColor="text1"/>
      <w:sz w:val="52"/>
      <w:szCs w:val="32"/>
    </w:rPr>
  </w:style>
  <w:style w:type="paragraph" w:styleId="TOC2">
    <w:name w:val="toc 2"/>
    <w:basedOn w:val="Normal"/>
    <w:next w:val="Normal"/>
    <w:autoRedefine/>
    <w:uiPriority w:val="39"/>
    <w:unhideWhenUsed/>
    <w:rsid w:val="00524853"/>
    <w:pPr>
      <w:spacing w:after="0"/>
      <w:ind w:left="260"/>
    </w:pPr>
    <w:rPr>
      <w:rFonts w:asciiTheme="minorHAnsi" w:hAnsiTheme="minorHAnsi" w:cstheme="minorHAnsi"/>
      <w:b/>
      <w:bCs/>
      <w:sz w:val="22"/>
    </w:rPr>
  </w:style>
  <w:style w:type="paragraph" w:styleId="TOC1">
    <w:name w:val="toc 1"/>
    <w:basedOn w:val="Normal"/>
    <w:next w:val="Normal"/>
    <w:autoRedefine/>
    <w:uiPriority w:val="39"/>
    <w:unhideWhenUsed/>
    <w:qFormat/>
    <w:rsid w:val="00EC3D20"/>
    <w:pPr>
      <w:spacing w:after="0"/>
    </w:pPr>
    <w:rPr>
      <w:rFonts w:cstheme="minorHAnsi"/>
      <w:bCs/>
      <w:iCs/>
      <w:szCs w:val="24"/>
    </w:rPr>
  </w:style>
  <w:style w:type="paragraph" w:styleId="TOC3">
    <w:name w:val="toc 3"/>
    <w:basedOn w:val="Normal"/>
    <w:next w:val="Normal"/>
    <w:autoRedefine/>
    <w:uiPriority w:val="39"/>
    <w:unhideWhenUsed/>
    <w:rsid w:val="00524853"/>
    <w:pPr>
      <w:spacing w:after="0"/>
      <w:ind w:left="520"/>
    </w:pPr>
    <w:rPr>
      <w:rFonts w:asciiTheme="minorHAnsi" w:hAnsiTheme="minorHAnsi" w:cstheme="minorHAnsi"/>
      <w:sz w:val="20"/>
      <w:szCs w:val="20"/>
    </w:rPr>
  </w:style>
  <w:style w:type="character" w:styleId="Hyperlink">
    <w:name w:val="Hyperlink"/>
    <w:basedOn w:val="DefaultParagraphFont"/>
    <w:uiPriority w:val="99"/>
    <w:unhideWhenUsed/>
    <w:rsid w:val="001437F8"/>
    <w:rPr>
      <w:color w:val="1F8B9D" w:themeColor="accent6"/>
      <w:u w:val="single"/>
    </w:rPr>
  </w:style>
  <w:style w:type="character" w:styleId="UnresolvedMention">
    <w:name w:val="Unresolved Mention"/>
    <w:basedOn w:val="DefaultParagraphFont"/>
    <w:uiPriority w:val="99"/>
    <w:semiHidden/>
    <w:unhideWhenUsed/>
    <w:rsid w:val="00557CE1"/>
    <w:rPr>
      <w:color w:val="605E5C"/>
      <w:shd w:val="clear" w:color="auto" w:fill="E1DFDD"/>
    </w:rPr>
  </w:style>
  <w:style w:type="paragraph" w:styleId="NormalWeb">
    <w:name w:val="Normal (Web)"/>
    <w:basedOn w:val="Normal"/>
    <w:uiPriority w:val="99"/>
    <w:semiHidden/>
    <w:unhideWhenUsed/>
    <w:rsid w:val="00D965B9"/>
    <w:rPr>
      <w:rFonts w:ascii="Times New Roman" w:hAnsi="Times New Roman" w:cs="Times New Roman"/>
      <w:szCs w:val="24"/>
    </w:rPr>
  </w:style>
  <w:style w:type="paragraph" w:styleId="Revision">
    <w:name w:val="Revision"/>
    <w:hidden/>
    <w:uiPriority w:val="99"/>
    <w:semiHidden/>
    <w:rsid w:val="007C7D8B"/>
    <w:pPr>
      <w:spacing w:after="0" w:line="240" w:lineRule="auto"/>
    </w:pPr>
    <w:rPr>
      <w:rFonts w:ascii="Arial" w:eastAsia="Microsoft Sans Serif" w:hAnsi="Arial" w:cs="Microsoft Sans Serif"/>
      <w:color w:val="171A1C"/>
      <w:sz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eastAsia="Microsoft Sans Serif" w:hAnsi="Arial" w:cs="Microsoft Sans Serif"/>
      <w:color w:val="171A1C"/>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TextRight">
    <w:name w:val="Text Right"/>
    <w:link w:val="TextRightChar"/>
    <w:rsid w:val="00B33829"/>
    <w:pPr>
      <w:ind w:left="3888"/>
    </w:pPr>
    <w:rPr>
      <w:rFonts w:ascii="Arial" w:eastAsia="Microsoft Sans Serif" w:hAnsi="Arial" w:cs="Microsoft Sans Serif"/>
      <w:color w:val="171A1C"/>
      <w:sz w:val="24"/>
    </w:rPr>
  </w:style>
  <w:style w:type="character" w:customStyle="1" w:styleId="TextRightChar">
    <w:name w:val="Text Right Char"/>
    <w:basedOn w:val="DefaultParagraphFont"/>
    <w:link w:val="TextRight"/>
    <w:rsid w:val="00B33829"/>
    <w:rPr>
      <w:rFonts w:ascii="Arial" w:eastAsia="Microsoft Sans Serif" w:hAnsi="Arial" w:cs="Microsoft Sans Serif"/>
      <w:color w:val="171A1C"/>
      <w:sz w:val="24"/>
    </w:rPr>
  </w:style>
  <w:style w:type="paragraph" w:styleId="BodyText">
    <w:name w:val="Body Text"/>
    <w:basedOn w:val="Normal"/>
    <w:link w:val="BodyTextChar"/>
    <w:uiPriority w:val="1"/>
    <w:qFormat/>
    <w:rsid w:val="004A1EB6"/>
    <w:pPr>
      <w:widowControl w:val="0"/>
      <w:autoSpaceDE w:val="0"/>
      <w:autoSpaceDN w:val="0"/>
      <w:spacing w:after="0" w:line="240" w:lineRule="auto"/>
    </w:pPr>
    <w:rPr>
      <w:rFonts w:eastAsia="Arial"/>
      <w:color w:val="auto"/>
      <w:sz w:val="20"/>
      <w:szCs w:val="20"/>
    </w:rPr>
  </w:style>
  <w:style w:type="character" w:customStyle="1" w:styleId="BodyTextChar">
    <w:name w:val="Body Text Char"/>
    <w:basedOn w:val="DefaultParagraphFont"/>
    <w:link w:val="BodyText"/>
    <w:uiPriority w:val="1"/>
    <w:rsid w:val="004A1EB6"/>
    <w:rPr>
      <w:rFonts w:ascii="Arial" w:eastAsia="Arial" w:hAnsi="Arial" w:cs="Arial"/>
      <w:sz w:val="20"/>
      <w:szCs w:val="20"/>
    </w:rPr>
  </w:style>
  <w:style w:type="paragraph" w:styleId="TOC4">
    <w:name w:val="toc 4"/>
    <w:basedOn w:val="Normal"/>
    <w:next w:val="Normal"/>
    <w:autoRedefine/>
    <w:uiPriority w:val="39"/>
    <w:unhideWhenUsed/>
    <w:rsid w:val="004A1EB6"/>
    <w:pPr>
      <w:spacing w:after="0"/>
      <w:ind w:left="780"/>
    </w:pPr>
    <w:rPr>
      <w:rFonts w:asciiTheme="minorHAnsi" w:hAnsiTheme="minorHAnsi" w:cstheme="minorHAnsi"/>
      <w:sz w:val="20"/>
      <w:szCs w:val="20"/>
    </w:rPr>
  </w:style>
  <w:style w:type="paragraph" w:styleId="TOC5">
    <w:name w:val="toc 5"/>
    <w:basedOn w:val="Normal"/>
    <w:next w:val="Normal"/>
    <w:autoRedefine/>
    <w:uiPriority w:val="39"/>
    <w:unhideWhenUsed/>
    <w:rsid w:val="004A1EB6"/>
    <w:pPr>
      <w:spacing w:after="0"/>
      <w:ind w:left="1040"/>
    </w:pPr>
    <w:rPr>
      <w:rFonts w:asciiTheme="minorHAnsi" w:hAnsiTheme="minorHAnsi" w:cstheme="minorHAnsi"/>
      <w:sz w:val="20"/>
      <w:szCs w:val="20"/>
    </w:rPr>
  </w:style>
  <w:style w:type="paragraph" w:styleId="TOC6">
    <w:name w:val="toc 6"/>
    <w:basedOn w:val="Normal"/>
    <w:next w:val="Normal"/>
    <w:autoRedefine/>
    <w:uiPriority w:val="39"/>
    <w:unhideWhenUsed/>
    <w:rsid w:val="004A1EB6"/>
    <w:pPr>
      <w:spacing w:after="0"/>
      <w:ind w:left="1300"/>
    </w:pPr>
    <w:rPr>
      <w:rFonts w:asciiTheme="minorHAnsi" w:hAnsiTheme="minorHAnsi" w:cstheme="minorHAnsi"/>
      <w:sz w:val="20"/>
      <w:szCs w:val="20"/>
    </w:rPr>
  </w:style>
  <w:style w:type="paragraph" w:styleId="TOC7">
    <w:name w:val="toc 7"/>
    <w:basedOn w:val="Normal"/>
    <w:next w:val="Normal"/>
    <w:autoRedefine/>
    <w:uiPriority w:val="39"/>
    <w:unhideWhenUsed/>
    <w:rsid w:val="004A1EB6"/>
    <w:pPr>
      <w:spacing w:after="0"/>
      <w:ind w:left="1560"/>
    </w:pPr>
    <w:rPr>
      <w:rFonts w:asciiTheme="minorHAnsi" w:hAnsiTheme="minorHAnsi" w:cstheme="minorHAnsi"/>
      <w:sz w:val="20"/>
      <w:szCs w:val="20"/>
    </w:rPr>
  </w:style>
  <w:style w:type="paragraph" w:styleId="TOC8">
    <w:name w:val="toc 8"/>
    <w:basedOn w:val="Normal"/>
    <w:next w:val="Normal"/>
    <w:autoRedefine/>
    <w:uiPriority w:val="39"/>
    <w:unhideWhenUsed/>
    <w:rsid w:val="004A1EB6"/>
    <w:pPr>
      <w:spacing w:after="0"/>
      <w:ind w:left="1820"/>
    </w:pPr>
    <w:rPr>
      <w:rFonts w:asciiTheme="minorHAnsi" w:hAnsiTheme="minorHAnsi" w:cstheme="minorHAnsi"/>
      <w:sz w:val="20"/>
      <w:szCs w:val="20"/>
    </w:rPr>
  </w:style>
  <w:style w:type="paragraph" w:styleId="TOC9">
    <w:name w:val="toc 9"/>
    <w:basedOn w:val="Normal"/>
    <w:next w:val="Normal"/>
    <w:autoRedefine/>
    <w:uiPriority w:val="39"/>
    <w:unhideWhenUsed/>
    <w:rsid w:val="004A1EB6"/>
    <w:pPr>
      <w:spacing w:after="0"/>
      <w:ind w:left="2080"/>
    </w:pPr>
    <w:rPr>
      <w:rFonts w:asciiTheme="minorHAnsi" w:hAnsiTheme="minorHAnsi" w:cstheme="minorHAnsi"/>
      <w:sz w:val="20"/>
      <w:szCs w:val="20"/>
    </w:rPr>
  </w:style>
  <w:style w:type="table" w:styleId="TableGrid0">
    <w:name w:val="Table Grid"/>
    <w:basedOn w:val="TableNormal"/>
    <w:uiPriority w:val="39"/>
    <w:rsid w:val="00A1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042D5"/>
    <w:pPr>
      <w:widowControl w:val="0"/>
      <w:autoSpaceDE w:val="0"/>
      <w:autoSpaceDN w:val="0"/>
      <w:spacing w:before="183" w:after="0" w:line="240" w:lineRule="auto"/>
      <w:ind w:left="27"/>
      <w:jc w:val="center"/>
    </w:pPr>
    <w:rPr>
      <w:rFonts w:eastAsia="Arial"/>
      <w:color w:val="auto"/>
      <w:sz w:val="22"/>
    </w:rPr>
  </w:style>
  <w:style w:type="table" w:customStyle="1" w:styleId="Style1">
    <w:name w:val="Style1"/>
    <w:basedOn w:val="TableNormal"/>
    <w:uiPriority w:val="99"/>
    <w:rsid w:val="006042D5"/>
    <w:pPr>
      <w:spacing w:after="0" w:line="240" w:lineRule="auto"/>
    </w:pPr>
    <w:tblPr/>
  </w:style>
  <w:style w:type="paragraph" w:customStyle="1" w:styleId="Heading2Right">
    <w:name w:val="Heading 2 Right"/>
    <w:basedOn w:val="Heading2"/>
    <w:link w:val="Heading2RightChar"/>
    <w:rsid w:val="009B6F4F"/>
    <w:pPr>
      <w:ind w:left="3902"/>
    </w:pPr>
  </w:style>
  <w:style w:type="character" w:customStyle="1" w:styleId="Heading2RightChar">
    <w:name w:val="Heading 2 Right Char"/>
    <w:basedOn w:val="Heading2Char"/>
    <w:link w:val="Heading2Right"/>
    <w:rsid w:val="009B6F4F"/>
    <w:rPr>
      <w:rFonts w:ascii="Arial" w:eastAsia="Microsoft Sans Serif" w:hAnsi="Arial" w:cs="Microsoft Sans Serif"/>
      <w:b/>
      <w:color w:val="12171D" w:themeColor="background2" w:themeShade="1A"/>
      <w:sz w:val="44"/>
    </w:rPr>
  </w:style>
  <w:style w:type="paragraph" w:customStyle="1" w:styleId="KeyTakeaway">
    <w:name w:val="Key Takeaway"/>
    <w:basedOn w:val="Heading3"/>
    <w:link w:val="KeyTakeawayChar"/>
    <w:rsid w:val="00932008"/>
    <w:pPr>
      <w:ind w:left="2070" w:firstLine="0"/>
    </w:pPr>
    <w:rPr>
      <w:color w:val="FFFFFF" w:themeColor="background1"/>
      <w:sz w:val="40"/>
      <w:szCs w:val="60"/>
    </w:rPr>
  </w:style>
  <w:style w:type="character" w:customStyle="1" w:styleId="KeyTakeawayChar">
    <w:name w:val="Key Takeaway Char"/>
    <w:basedOn w:val="Heading3Char"/>
    <w:link w:val="KeyTakeaway"/>
    <w:rsid w:val="00932008"/>
    <w:rPr>
      <w:rFonts w:ascii="Arial" w:eastAsia="Microsoft Sans Serif" w:hAnsi="Arial" w:cs="Microsoft Sans Serif"/>
      <w:b/>
      <w:caps/>
      <w:color w:val="FFFFFF" w:themeColor="background1"/>
      <w:sz w:val="40"/>
      <w:szCs w:val="60"/>
    </w:rPr>
  </w:style>
  <w:style w:type="paragraph" w:customStyle="1" w:styleId="Heading3Left">
    <w:name w:val="Heading 3 Left"/>
    <w:basedOn w:val="Heading3"/>
    <w:link w:val="Heading3LeftChar"/>
    <w:rsid w:val="003518FF"/>
    <w:pPr>
      <w:ind w:left="28"/>
    </w:pPr>
  </w:style>
  <w:style w:type="character" w:customStyle="1" w:styleId="Heading3LeftChar">
    <w:name w:val="Heading 3 Left Char"/>
    <w:basedOn w:val="Heading3Char"/>
    <w:link w:val="Heading3Left"/>
    <w:rsid w:val="003518FF"/>
    <w:rPr>
      <w:rFonts w:ascii="Arial" w:eastAsia="Microsoft Sans Serif" w:hAnsi="Arial" w:cs="Microsoft Sans Serif"/>
      <w:b/>
      <w:caps/>
      <w:color w:val="12171D" w:themeColor="background2" w:themeShade="1A"/>
      <w:sz w:val="32"/>
    </w:rPr>
  </w:style>
  <w:style w:type="paragraph" w:customStyle="1" w:styleId="KeyTakeawayBox">
    <w:name w:val="Key Takeaway Box"/>
    <w:basedOn w:val="Normal"/>
    <w:link w:val="KeyTakeawayBoxChar"/>
    <w:qFormat/>
    <w:rsid w:val="00E168A2"/>
    <w:pPr>
      <w:pBdr>
        <w:top w:val="single" w:sz="4" w:space="15" w:color="00AEC7" w:themeColor="accent1"/>
        <w:left w:val="single" w:sz="4" w:space="10" w:color="00AEC7" w:themeColor="accent1"/>
        <w:bottom w:val="single" w:sz="4" w:space="15" w:color="00AEC7" w:themeColor="accent1"/>
        <w:right w:val="single" w:sz="4" w:space="10" w:color="00AEC7" w:themeColor="accent1"/>
      </w:pBdr>
      <w:shd w:val="clear" w:color="auto" w:fill="C9EEF4" w:themeFill="accent6" w:themeFillTint="33"/>
      <w:suppressAutoHyphens/>
      <w:spacing w:before="40"/>
      <w:ind w:left="1944" w:right="216" w:hanging="1728"/>
      <w:contextualSpacing/>
    </w:pPr>
  </w:style>
  <w:style w:type="character" w:customStyle="1" w:styleId="KeyTakeawayBoxChar">
    <w:name w:val="Key Takeaway Box Char"/>
    <w:basedOn w:val="DefaultParagraphFont"/>
    <w:link w:val="KeyTakeawayBox"/>
    <w:rsid w:val="00E168A2"/>
    <w:rPr>
      <w:rFonts w:ascii="Arial" w:eastAsia="Microsoft Sans Serif" w:hAnsi="Arial" w:cs="Microsoft Sans Serif"/>
      <w:color w:val="171A1C"/>
      <w:sz w:val="24"/>
      <w:shd w:val="clear" w:color="auto" w:fill="C9EEF4" w:themeFill="accent6" w:themeFillTint="33"/>
    </w:rPr>
  </w:style>
  <w:style w:type="paragraph" w:customStyle="1" w:styleId="tablehead">
    <w:name w:val="table head"/>
    <w:basedOn w:val="BodyText"/>
    <w:rsid w:val="002E4151"/>
    <w:pPr>
      <w:widowControl/>
      <w:autoSpaceDE/>
      <w:autoSpaceDN/>
      <w:spacing w:before="20" w:after="20" w:line="240" w:lineRule="exact"/>
    </w:pPr>
    <w:rPr>
      <w:rFonts w:eastAsia="Times New Roman" w:cs="Times New Roman"/>
      <w:b/>
      <w:color w:val="7C858C" w:themeColor="accent2"/>
      <w:sz w:val="18"/>
      <w:szCs w:val="24"/>
    </w:rPr>
  </w:style>
  <w:style w:type="paragraph" w:customStyle="1" w:styleId="table">
    <w:name w:val="table"/>
    <w:basedOn w:val="BodyText"/>
    <w:rsid w:val="002E4151"/>
    <w:pPr>
      <w:widowControl/>
      <w:autoSpaceDE/>
      <w:autoSpaceDN/>
      <w:spacing w:before="20" w:after="20" w:line="240" w:lineRule="exact"/>
    </w:pPr>
    <w:rPr>
      <w:rFonts w:eastAsia="Times New Roman" w:cs="Times New Roman"/>
      <w:color w:val="7C858C" w:themeColor="accent2"/>
      <w:sz w:val="18"/>
      <w:szCs w:val="24"/>
    </w:rPr>
  </w:style>
  <w:style w:type="table" w:styleId="GridTable4-Accent2">
    <w:name w:val="Grid Table 4 Accent 2"/>
    <w:basedOn w:val="TableNormal"/>
    <w:uiPriority w:val="49"/>
    <w:rsid w:val="002E4151"/>
    <w:pPr>
      <w:spacing w:after="0" w:line="240" w:lineRule="auto"/>
    </w:pPr>
    <w:tblPr>
      <w:tblStyleRowBandSize w:val="1"/>
      <w:tblStyleColBandSize w:val="1"/>
      <w:tblBorders>
        <w:top w:val="single" w:sz="4" w:space="0" w:color="B0B5BA" w:themeColor="accent2" w:themeTint="99"/>
        <w:left w:val="single" w:sz="4" w:space="0" w:color="B0B5BA" w:themeColor="accent2" w:themeTint="99"/>
        <w:bottom w:val="single" w:sz="4" w:space="0" w:color="B0B5BA" w:themeColor="accent2" w:themeTint="99"/>
        <w:right w:val="single" w:sz="4" w:space="0" w:color="B0B5BA" w:themeColor="accent2" w:themeTint="99"/>
        <w:insideH w:val="single" w:sz="4" w:space="0" w:color="B0B5BA" w:themeColor="accent2" w:themeTint="99"/>
        <w:insideV w:val="single" w:sz="4" w:space="0" w:color="B0B5BA" w:themeColor="accent2" w:themeTint="99"/>
      </w:tblBorders>
    </w:tblPr>
    <w:tblStylePr w:type="firstRow">
      <w:rPr>
        <w:b/>
        <w:bCs/>
        <w:color w:val="FFFFFF" w:themeColor="background1"/>
      </w:rPr>
      <w:tblPr/>
      <w:tcPr>
        <w:tcBorders>
          <w:top w:val="single" w:sz="4" w:space="0" w:color="7C858C" w:themeColor="accent2"/>
          <w:left w:val="single" w:sz="4" w:space="0" w:color="7C858C" w:themeColor="accent2"/>
          <w:bottom w:val="single" w:sz="4" w:space="0" w:color="7C858C" w:themeColor="accent2"/>
          <w:right w:val="single" w:sz="4" w:space="0" w:color="7C858C" w:themeColor="accent2"/>
          <w:insideH w:val="nil"/>
          <w:insideV w:val="nil"/>
        </w:tcBorders>
        <w:shd w:val="clear" w:color="auto" w:fill="7C858C" w:themeFill="accent2"/>
      </w:tcPr>
    </w:tblStylePr>
    <w:tblStylePr w:type="lastRow">
      <w:rPr>
        <w:b/>
        <w:bCs/>
      </w:rPr>
      <w:tblPr/>
      <w:tcPr>
        <w:tcBorders>
          <w:top w:val="double" w:sz="4" w:space="0" w:color="7C858C" w:themeColor="accent2"/>
        </w:tcBorders>
      </w:tcPr>
    </w:tblStylePr>
    <w:tblStylePr w:type="firstCol">
      <w:rPr>
        <w:b/>
        <w:bCs/>
      </w:rPr>
    </w:tblStylePr>
    <w:tblStylePr w:type="lastCol">
      <w:rPr>
        <w:b/>
        <w:bCs/>
      </w:rPr>
    </w:tblStylePr>
    <w:tblStylePr w:type="band1Vert">
      <w:tblPr/>
      <w:tcPr>
        <w:shd w:val="clear" w:color="auto" w:fill="E4E6E8" w:themeFill="accent2" w:themeFillTint="33"/>
      </w:tcPr>
    </w:tblStylePr>
    <w:tblStylePr w:type="band1Horz">
      <w:tblPr/>
      <w:tcPr>
        <w:shd w:val="clear" w:color="auto" w:fill="E4E6E8" w:themeFill="accent2" w:themeFillTint="33"/>
      </w:tcPr>
    </w:tblStylePr>
  </w:style>
  <w:style w:type="table" w:styleId="PlainTable4">
    <w:name w:val="Plain Table 4"/>
    <w:basedOn w:val="ERCOTtable"/>
    <w:uiPriority w:val="44"/>
    <w:rsid w:val="006A6F0A"/>
    <w:pPr>
      <w:spacing w:after="0"/>
    </w:pPr>
    <w:rPr>
      <w:rFonts w:ascii="Arial" w:hAnsi="Arial"/>
      <w:sz w:val="20"/>
    </w:rPr>
    <w:tblPr>
      <w:tblStyleRowBandSize w:val="1"/>
      <w:tblStyleColBandSize w:val="1"/>
      <w:tblBorders>
        <w:top w:val="single" w:sz="4" w:space="0" w:color="C9EEF4" w:themeColor="accent6" w:themeTint="33"/>
        <w:left w:val="single" w:sz="4" w:space="0" w:color="C9EEF4" w:themeColor="accent6" w:themeTint="33"/>
        <w:bottom w:val="single" w:sz="4" w:space="0" w:color="C9EEF4" w:themeColor="accent6" w:themeTint="33"/>
        <w:right w:val="single" w:sz="4" w:space="0" w:color="C9EEF4" w:themeColor="accent6" w:themeTint="33"/>
        <w:insideH w:val="single" w:sz="4" w:space="0" w:color="C9EEF4" w:themeColor="accent6" w:themeTint="33"/>
        <w:insideV w:val="single" w:sz="4" w:space="0" w:color="C9EEF4" w:themeColor="accent6" w:themeTint="33"/>
      </w:tblBorders>
    </w:tblPr>
    <w:tblStylePr w:type="firstRow">
      <w:pPr>
        <w:jc w:val="left"/>
      </w:pPr>
      <w:rPr>
        <w:rFonts w:ascii="Arial" w:hAnsi="Arial"/>
        <w:b w:val="0"/>
        <w:bCs/>
        <w:sz w:val="16"/>
      </w:rPr>
      <w:tblPr/>
      <w:tcPr>
        <w:tcBorders>
          <w:top w:val="nil"/>
          <w:left w:val="nil"/>
          <w:bottom w:val="nil"/>
          <w:right w:val="nil"/>
          <w:insideH w:val="nil"/>
          <w:insideV w:val="nil"/>
          <w:tl2br w:val="nil"/>
          <w:tr2bl w:val="nil"/>
        </w:tcBorders>
        <w:shd w:val="clear" w:color="auto" w:fill="0F454E" w:themeFill="accent6" w:themeFillShade="80"/>
      </w:tcPr>
    </w:tblStylePr>
    <w:tblStylePr w:type="lastRow">
      <w:pPr>
        <w:jc w:val="left"/>
      </w:pPr>
      <w:rPr>
        <w:b/>
        <w:bCs/>
      </w:rPr>
      <w:tblPr/>
      <w:tcPr>
        <w:vAlign w:val="center"/>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FFFFF" w:themeFill="background1"/>
      </w:tcPr>
    </w:tblStylePr>
  </w:style>
  <w:style w:type="paragraph" w:customStyle="1" w:styleId="BulletIndent">
    <w:name w:val="Bullet Indent"/>
    <w:basedOn w:val="Normal"/>
    <w:rsid w:val="003F5BB4"/>
    <w:pPr>
      <w:spacing w:after="0" w:line="240" w:lineRule="auto"/>
    </w:pPr>
    <w:rPr>
      <w:rFonts w:ascii="Times New Roman" w:eastAsia="Times New Roman" w:hAnsi="Times New Roman" w:cs="Times New Roman"/>
      <w:color w:val="auto"/>
      <w:szCs w:val="20"/>
    </w:rPr>
  </w:style>
  <w:style w:type="paragraph" w:customStyle="1" w:styleId="NormalforTable">
    <w:name w:val="Normal for Table"/>
    <w:basedOn w:val="Normal"/>
    <w:link w:val="NormalforTableChar"/>
    <w:qFormat/>
    <w:rsid w:val="00342A2D"/>
    <w:pPr>
      <w:spacing w:before="0" w:after="0"/>
    </w:pPr>
    <w:rPr>
      <w:b/>
      <w:bCs/>
    </w:rPr>
  </w:style>
  <w:style w:type="character" w:customStyle="1" w:styleId="NormalforTableChar">
    <w:name w:val="Normal for Table Char"/>
    <w:basedOn w:val="DefaultParagraphFont"/>
    <w:link w:val="NormalforTable"/>
    <w:rsid w:val="00342A2D"/>
    <w:rPr>
      <w:rFonts w:ascii="Arial" w:eastAsia="Microsoft Sans Serif" w:hAnsi="Arial" w:cs="Arial"/>
      <w:b/>
      <w:bCs/>
      <w:color w:val="171A1C"/>
      <w:sz w:val="24"/>
    </w:rPr>
  </w:style>
  <w:style w:type="table" w:styleId="GridTable1Light-Accent2">
    <w:name w:val="Grid Table 1 Light Accent 2"/>
    <w:basedOn w:val="TableNormal"/>
    <w:uiPriority w:val="46"/>
    <w:rsid w:val="00046EA1"/>
    <w:pPr>
      <w:spacing w:after="0" w:line="240" w:lineRule="auto"/>
    </w:pPr>
    <w:tblPr>
      <w:tblStyleRowBandSize w:val="1"/>
      <w:tblStyleColBandSize w:val="1"/>
      <w:tblBorders>
        <w:top w:val="single" w:sz="4" w:space="0" w:color="CACED1" w:themeColor="accent2" w:themeTint="66"/>
        <w:left w:val="single" w:sz="4" w:space="0" w:color="CACED1" w:themeColor="accent2" w:themeTint="66"/>
        <w:bottom w:val="single" w:sz="4" w:space="0" w:color="CACED1" w:themeColor="accent2" w:themeTint="66"/>
        <w:right w:val="single" w:sz="4" w:space="0" w:color="CACED1" w:themeColor="accent2" w:themeTint="66"/>
        <w:insideH w:val="single" w:sz="4" w:space="0" w:color="CACED1" w:themeColor="accent2" w:themeTint="66"/>
        <w:insideV w:val="single" w:sz="4" w:space="0" w:color="CACED1" w:themeColor="accent2" w:themeTint="66"/>
      </w:tblBorders>
    </w:tblPr>
    <w:tblStylePr w:type="firstRow">
      <w:rPr>
        <w:b/>
        <w:bCs/>
      </w:rPr>
      <w:tblPr/>
      <w:tcPr>
        <w:tcBorders>
          <w:bottom w:val="single" w:sz="12" w:space="0" w:color="B0B5BA" w:themeColor="accent2" w:themeTint="99"/>
        </w:tcBorders>
      </w:tcPr>
    </w:tblStylePr>
    <w:tblStylePr w:type="lastRow">
      <w:rPr>
        <w:b/>
        <w:bCs/>
      </w:rPr>
      <w:tblPr/>
      <w:tcPr>
        <w:tcBorders>
          <w:top w:val="double" w:sz="2" w:space="0" w:color="B0B5BA" w:themeColor="accent2"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D0629"/>
    <w:rPr>
      <w:b/>
      <w:bCs/>
    </w:rPr>
  </w:style>
  <w:style w:type="character" w:customStyle="1" w:styleId="CommentSubjectChar">
    <w:name w:val="Comment Subject Char"/>
    <w:basedOn w:val="CommentTextChar"/>
    <w:link w:val="CommentSubject"/>
    <w:uiPriority w:val="99"/>
    <w:semiHidden/>
    <w:rsid w:val="00CD0629"/>
    <w:rPr>
      <w:rFonts w:ascii="Arial" w:eastAsia="Microsoft Sans Serif" w:hAnsi="Arial" w:cs="Arial"/>
      <w:b/>
      <w:bCs/>
      <w:color w:val="171A1C"/>
      <w:sz w:val="20"/>
      <w:szCs w:val="20"/>
    </w:rPr>
  </w:style>
  <w:style w:type="character" w:styleId="FollowedHyperlink">
    <w:name w:val="FollowedHyperlink"/>
    <w:basedOn w:val="DefaultParagraphFont"/>
    <w:uiPriority w:val="99"/>
    <w:semiHidden/>
    <w:unhideWhenUsed/>
    <w:rsid w:val="00872B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9">
      <w:bodyDiv w:val="1"/>
      <w:marLeft w:val="0"/>
      <w:marRight w:val="0"/>
      <w:marTop w:val="0"/>
      <w:marBottom w:val="0"/>
      <w:divBdr>
        <w:top w:val="none" w:sz="0" w:space="0" w:color="auto"/>
        <w:left w:val="none" w:sz="0" w:space="0" w:color="auto"/>
        <w:bottom w:val="none" w:sz="0" w:space="0" w:color="auto"/>
        <w:right w:val="none" w:sz="0" w:space="0" w:color="auto"/>
      </w:divBdr>
    </w:div>
    <w:div w:id="147287211">
      <w:bodyDiv w:val="1"/>
      <w:marLeft w:val="0"/>
      <w:marRight w:val="0"/>
      <w:marTop w:val="0"/>
      <w:marBottom w:val="0"/>
      <w:divBdr>
        <w:top w:val="none" w:sz="0" w:space="0" w:color="auto"/>
        <w:left w:val="none" w:sz="0" w:space="0" w:color="auto"/>
        <w:bottom w:val="none" w:sz="0" w:space="0" w:color="auto"/>
        <w:right w:val="none" w:sz="0" w:space="0" w:color="auto"/>
      </w:divBdr>
    </w:div>
    <w:div w:id="171843272">
      <w:bodyDiv w:val="1"/>
      <w:marLeft w:val="0"/>
      <w:marRight w:val="0"/>
      <w:marTop w:val="0"/>
      <w:marBottom w:val="0"/>
      <w:divBdr>
        <w:top w:val="none" w:sz="0" w:space="0" w:color="auto"/>
        <w:left w:val="none" w:sz="0" w:space="0" w:color="auto"/>
        <w:bottom w:val="none" w:sz="0" w:space="0" w:color="auto"/>
        <w:right w:val="none" w:sz="0" w:space="0" w:color="auto"/>
      </w:divBdr>
    </w:div>
    <w:div w:id="282735640">
      <w:bodyDiv w:val="1"/>
      <w:marLeft w:val="0"/>
      <w:marRight w:val="0"/>
      <w:marTop w:val="0"/>
      <w:marBottom w:val="0"/>
      <w:divBdr>
        <w:top w:val="none" w:sz="0" w:space="0" w:color="auto"/>
        <w:left w:val="none" w:sz="0" w:space="0" w:color="auto"/>
        <w:bottom w:val="none" w:sz="0" w:space="0" w:color="auto"/>
        <w:right w:val="none" w:sz="0" w:space="0" w:color="auto"/>
      </w:divBdr>
    </w:div>
    <w:div w:id="294336144">
      <w:bodyDiv w:val="1"/>
      <w:marLeft w:val="0"/>
      <w:marRight w:val="0"/>
      <w:marTop w:val="0"/>
      <w:marBottom w:val="0"/>
      <w:divBdr>
        <w:top w:val="none" w:sz="0" w:space="0" w:color="auto"/>
        <w:left w:val="none" w:sz="0" w:space="0" w:color="auto"/>
        <w:bottom w:val="none" w:sz="0" w:space="0" w:color="auto"/>
        <w:right w:val="none" w:sz="0" w:space="0" w:color="auto"/>
      </w:divBdr>
    </w:div>
    <w:div w:id="526989490">
      <w:bodyDiv w:val="1"/>
      <w:marLeft w:val="0"/>
      <w:marRight w:val="0"/>
      <w:marTop w:val="0"/>
      <w:marBottom w:val="0"/>
      <w:divBdr>
        <w:top w:val="none" w:sz="0" w:space="0" w:color="auto"/>
        <w:left w:val="none" w:sz="0" w:space="0" w:color="auto"/>
        <w:bottom w:val="none" w:sz="0" w:space="0" w:color="auto"/>
        <w:right w:val="none" w:sz="0" w:space="0" w:color="auto"/>
      </w:divBdr>
    </w:div>
    <w:div w:id="567496341">
      <w:bodyDiv w:val="1"/>
      <w:marLeft w:val="0"/>
      <w:marRight w:val="0"/>
      <w:marTop w:val="0"/>
      <w:marBottom w:val="0"/>
      <w:divBdr>
        <w:top w:val="none" w:sz="0" w:space="0" w:color="auto"/>
        <w:left w:val="none" w:sz="0" w:space="0" w:color="auto"/>
        <w:bottom w:val="none" w:sz="0" w:space="0" w:color="auto"/>
        <w:right w:val="none" w:sz="0" w:space="0" w:color="auto"/>
      </w:divBdr>
    </w:div>
    <w:div w:id="695737258">
      <w:bodyDiv w:val="1"/>
      <w:marLeft w:val="0"/>
      <w:marRight w:val="0"/>
      <w:marTop w:val="0"/>
      <w:marBottom w:val="0"/>
      <w:divBdr>
        <w:top w:val="none" w:sz="0" w:space="0" w:color="auto"/>
        <w:left w:val="none" w:sz="0" w:space="0" w:color="auto"/>
        <w:bottom w:val="none" w:sz="0" w:space="0" w:color="auto"/>
        <w:right w:val="none" w:sz="0" w:space="0" w:color="auto"/>
      </w:divBdr>
    </w:div>
    <w:div w:id="721249586">
      <w:bodyDiv w:val="1"/>
      <w:marLeft w:val="0"/>
      <w:marRight w:val="0"/>
      <w:marTop w:val="0"/>
      <w:marBottom w:val="0"/>
      <w:divBdr>
        <w:top w:val="none" w:sz="0" w:space="0" w:color="auto"/>
        <w:left w:val="none" w:sz="0" w:space="0" w:color="auto"/>
        <w:bottom w:val="none" w:sz="0" w:space="0" w:color="auto"/>
        <w:right w:val="none" w:sz="0" w:space="0" w:color="auto"/>
      </w:divBdr>
    </w:div>
    <w:div w:id="723602020">
      <w:bodyDiv w:val="1"/>
      <w:marLeft w:val="0"/>
      <w:marRight w:val="0"/>
      <w:marTop w:val="0"/>
      <w:marBottom w:val="0"/>
      <w:divBdr>
        <w:top w:val="none" w:sz="0" w:space="0" w:color="auto"/>
        <w:left w:val="none" w:sz="0" w:space="0" w:color="auto"/>
        <w:bottom w:val="none" w:sz="0" w:space="0" w:color="auto"/>
        <w:right w:val="none" w:sz="0" w:space="0" w:color="auto"/>
      </w:divBdr>
    </w:div>
    <w:div w:id="859441242">
      <w:bodyDiv w:val="1"/>
      <w:marLeft w:val="0"/>
      <w:marRight w:val="0"/>
      <w:marTop w:val="0"/>
      <w:marBottom w:val="0"/>
      <w:divBdr>
        <w:top w:val="none" w:sz="0" w:space="0" w:color="auto"/>
        <w:left w:val="none" w:sz="0" w:space="0" w:color="auto"/>
        <w:bottom w:val="none" w:sz="0" w:space="0" w:color="auto"/>
        <w:right w:val="none" w:sz="0" w:space="0" w:color="auto"/>
      </w:divBdr>
    </w:div>
    <w:div w:id="918832913">
      <w:bodyDiv w:val="1"/>
      <w:marLeft w:val="0"/>
      <w:marRight w:val="0"/>
      <w:marTop w:val="0"/>
      <w:marBottom w:val="0"/>
      <w:divBdr>
        <w:top w:val="none" w:sz="0" w:space="0" w:color="auto"/>
        <w:left w:val="none" w:sz="0" w:space="0" w:color="auto"/>
        <w:bottom w:val="none" w:sz="0" w:space="0" w:color="auto"/>
        <w:right w:val="none" w:sz="0" w:space="0" w:color="auto"/>
      </w:divBdr>
    </w:div>
    <w:div w:id="970861214">
      <w:bodyDiv w:val="1"/>
      <w:marLeft w:val="0"/>
      <w:marRight w:val="0"/>
      <w:marTop w:val="0"/>
      <w:marBottom w:val="0"/>
      <w:divBdr>
        <w:top w:val="none" w:sz="0" w:space="0" w:color="auto"/>
        <w:left w:val="none" w:sz="0" w:space="0" w:color="auto"/>
        <w:bottom w:val="none" w:sz="0" w:space="0" w:color="auto"/>
        <w:right w:val="none" w:sz="0" w:space="0" w:color="auto"/>
      </w:divBdr>
    </w:div>
    <w:div w:id="1557542159">
      <w:bodyDiv w:val="1"/>
      <w:marLeft w:val="0"/>
      <w:marRight w:val="0"/>
      <w:marTop w:val="0"/>
      <w:marBottom w:val="0"/>
      <w:divBdr>
        <w:top w:val="none" w:sz="0" w:space="0" w:color="auto"/>
        <w:left w:val="none" w:sz="0" w:space="0" w:color="auto"/>
        <w:bottom w:val="none" w:sz="0" w:space="0" w:color="auto"/>
        <w:right w:val="none" w:sz="0" w:space="0" w:color="auto"/>
      </w:divBdr>
    </w:div>
    <w:div w:id="1643655225">
      <w:bodyDiv w:val="1"/>
      <w:marLeft w:val="0"/>
      <w:marRight w:val="0"/>
      <w:marTop w:val="0"/>
      <w:marBottom w:val="0"/>
      <w:divBdr>
        <w:top w:val="none" w:sz="0" w:space="0" w:color="auto"/>
        <w:left w:val="none" w:sz="0" w:space="0" w:color="auto"/>
        <w:bottom w:val="none" w:sz="0" w:space="0" w:color="auto"/>
        <w:right w:val="none" w:sz="0" w:space="0" w:color="auto"/>
      </w:divBdr>
    </w:div>
    <w:div w:id="1671253694">
      <w:bodyDiv w:val="1"/>
      <w:marLeft w:val="0"/>
      <w:marRight w:val="0"/>
      <w:marTop w:val="0"/>
      <w:marBottom w:val="0"/>
      <w:divBdr>
        <w:top w:val="none" w:sz="0" w:space="0" w:color="auto"/>
        <w:left w:val="none" w:sz="0" w:space="0" w:color="auto"/>
        <w:bottom w:val="none" w:sz="0" w:space="0" w:color="auto"/>
        <w:right w:val="none" w:sz="0" w:space="0" w:color="auto"/>
      </w:divBdr>
    </w:div>
    <w:div w:id="1693796654">
      <w:bodyDiv w:val="1"/>
      <w:marLeft w:val="0"/>
      <w:marRight w:val="0"/>
      <w:marTop w:val="0"/>
      <w:marBottom w:val="0"/>
      <w:divBdr>
        <w:top w:val="none" w:sz="0" w:space="0" w:color="auto"/>
        <w:left w:val="none" w:sz="0" w:space="0" w:color="auto"/>
        <w:bottom w:val="none" w:sz="0" w:space="0" w:color="auto"/>
        <w:right w:val="none" w:sz="0" w:space="0" w:color="auto"/>
      </w:divBdr>
    </w:div>
    <w:div w:id="1724980899">
      <w:bodyDiv w:val="1"/>
      <w:marLeft w:val="0"/>
      <w:marRight w:val="0"/>
      <w:marTop w:val="0"/>
      <w:marBottom w:val="0"/>
      <w:divBdr>
        <w:top w:val="none" w:sz="0" w:space="0" w:color="auto"/>
        <w:left w:val="none" w:sz="0" w:space="0" w:color="auto"/>
        <w:bottom w:val="none" w:sz="0" w:space="0" w:color="auto"/>
        <w:right w:val="none" w:sz="0" w:space="0" w:color="auto"/>
      </w:divBdr>
    </w:div>
    <w:div w:id="1751731476">
      <w:bodyDiv w:val="1"/>
      <w:marLeft w:val="0"/>
      <w:marRight w:val="0"/>
      <w:marTop w:val="0"/>
      <w:marBottom w:val="0"/>
      <w:divBdr>
        <w:top w:val="none" w:sz="0" w:space="0" w:color="auto"/>
        <w:left w:val="none" w:sz="0" w:space="0" w:color="auto"/>
        <w:bottom w:val="none" w:sz="0" w:space="0" w:color="auto"/>
        <w:right w:val="none" w:sz="0" w:space="0" w:color="auto"/>
      </w:divBdr>
    </w:div>
    <w:div w:id="1840533661">
      <w:bodyDiv w:val="1"/>
      <w:marLeft w:val="0"/>
      <w:marRight w:val="0"/>
      <w:marTop w:val="0"/>
      <w:marBottom w:val="0"/>
      <w:divBdr>
        <w:top w:val="none" w:sz="0" w:space="0" w:color="auto"/>
        <w:left w:val="none" w:sz="0" w:space="0" w:color="auto"/>
        <w:bottom w:val="none" w:sz="0" w:space="0" w:color="auto"/>
        <w:right w:val="none" w:sz="0" w:space="0" w:color="auto"/>
      </w:divBdr>
    </w:div>
    <w:div w:id="1861355606">
      <w:bodyDiv w:val="1"/>
      <w:marLeft w:val="0"/>
      <w:marRight w:val="0"/>
      <w:marTop w:val="0"/>
      <w:marBottom w:val="0"/>
      <w:divBdr>
        <w:top w:val="none" w:sz="0" w:space="0" w:color="auto"/>
        <w:left w:val="none" w:sz="0" w:space="0" w:color="auto"/>
        <w:bottom w:val="none" w:sz="0" w:space="0" w:color="auto"/>
        <w:right w:val="none" w:sz="0" w:space="0" w:color="auto"/>
      </w:divBdr>
    </w:div>
    <w:div w:id="1897006193">
      <w:bodyDiv w:val="1"/>
      <w:marLeft w:val="0"/>
      <w:marRight w:val="0"/>
      <w:marTop w:val="0"/>
      <w:marBottom w:val="0"/>
      <w:divBdr>
        <w:top w:val="none" w:sz="0" w:space="0" w:color="auto"/>
        <w:left w:val="none" w:sz="0" w:space="0" w:color="auto"/>
        <w:bottom w:val="none" w:sz="0" w:space="0" w:color="auto"/>
        <w:right w:val="none" w:sz="0" w:space="0" w:color="auto"/>
      </w:divBdr>
    </w:div>
    <w:div w:id="2089841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rcot.com/files/docs/2026/05/04/1308NPRR-16-TAC-Report-042926.docx" TargetMode="External"/><Relationship Id="rId18" Type="http://schemas.openxmlformats.org/officeDocument/2006/relationships/hyperlink" Target="https://www.ercot.com/mktrules/issues/NPRR1315" TargetMode="External"/><Relationship Id="rId26" Type="http://schemas.openxmlformats.org/officeDocument/2006/relationships/hyperlink" Target="https://view.officeapps.live.com/op/view.aspx?src=https%3A%2F%2Fwww.ercot.com%2Ffiles%2Fdocs%2F2026%2F05%2F04%2F283NOGRR-10-TAC-Report-042926.docx&amp;wdOrigin=BROWSELINK" TargetMode="External"/><Relationship Id="rId3" Type="http://schemas.openxmlformats.org/officeDocument/2006/relationships/customXml" Target="../customXml/item3.xml"/><Relationship Id="rId21" Type="http://schemas.openxmlformats.org/officeDocument/2006/relationships/hyperlink" Target="https://www.ercot.com/mktrules/issues/NPRR1315"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w.officeapps.live.com/op/view.aspx?src=https%3A%2F%2Fwww.ercot.com%2Ffiles%2Fdocs%2F2025%2F11%2F14%2F1308NPRR-02-Impact-Analysis-111425.docx&amp;wdOrigin=BROWSELINK" TargetMode="External"/><Relationship Id="rId17" Type="http://schemas.openxmlformats.org/officeDocument/2006/relationships/hyperlink" Target="https://www.ercot.com/mktrules/issues/NPRR1309" TargetMode="External"/><Relationship Id="rId25" Type="http://schemas.openxmlformats.org/officeDocument/2006/relationships/hyperlink" Target="https://view.officeapps.live.com/op/view.aspx?src=https%3A%2F%2Fwww.ercot.com%2Ffiles%2Fdocs%2F2025%2F11%2F20%2F283NOGRR-02-Impact-Analysis-112025.docx&amp;wdOrigin=BROWSELINK"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rcot.com/files/docs/2026/05/04/1309NPRR-32-TAC-Report-042926.docx" TargetMode="External"/><Relationship Id="rId20" Type="http://schemas.openxmlformats.org/officeDocument/2006/relationships/hyperlink" Target="https://view.officeapps.live.com/op/view.aspx?src=https%3A%2F%2Fwww.ercot.com%2Ffiles%2Fdocs%2F2026%2F05%2F18%2F1315NPRR-22-TAC-Report-051326.docx&amp;wdOrigin=BROWSELIN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rcot.com/mktrules/issues/NOGRR282"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view.officeapps.live.com/op/view.aspx?src=https%3A%2F%2Fwww.ercot.com%2Ffiles%2Fdocs%2F2025%2F11%2F20%2F1309NPRR-02-Impact-Analysis-112025.docx&amp;wdOrigin=BROWSELINK" TargetMode="External"/><Relationship Id="rId23" Type="http://schemas.openxmlformats.org/officeDocument/2006/relationships/hyperlink" Target="https://view.officeapps.live.com/op/view.aspx?src=https%3A%2F%2Fwww.ercot.com%2Ffiles%2Fdocs%2F2026%2F05%2F04%2F282NOGRR-29-TAC-Report-042926.docx&amp;wdOrigin=BROWSELINK"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view.officeapps.live.com/op/view.aspx?src=https%3A%2F%2Fwww.ercot.com%2Ffiles%2Fdocs%2F2026%2F05%2F12%2F1315NPRR-20-Revised-Impact-Analysis-051226.docx&amp;wdOrigin=BROWSELINK"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rcot.com/mktrules/issues/NPRR1308" TargetMode="External"/><Relationship Id="rId22" Type="http://schemas.openxmlformats.org/officeDocument/2006/relationships/hyperlink" Target="https://view.officeapps.live.com/op/view.aspx?src=https%3A%2F%2Fwww.ercot.com%2Ffiles%2Fdocs%2F2026%2F04%2F14%2F282NOGRR-25-Revised-Impact-Analysis-041426.docx&amp;wdOrigin=BROWSELINK" TargetMode="External"/><Relationship Id="rId27" Type="http://schemas.openxmlformats.org/officeDocument/2006/relationships/hyperlink" Target="https://www.ercot.com/mktrules/issues/NOGRR283"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oren\Downloads\Board%20Decision%20Template%20&amp;%20Resolution%20-%20Public%20(1).dotx" TargetMode="External"/></Relationships>
</file>

<file path=word/theme/theme1.xml><?xml version="1.0" encoding="utf-8"?>
<a:theme xmlns:a="http://schemas.openxmlformats.org/drawingml/2006/main" name="Office Theme">
  <a:themeElements>
    <a:clrScheme name="ERCOT Brand Colors">
      <a:dk1>
        <a:srgbClr val="2D3338"/>
      </a:dk1>
      <a:lt1>
        <a:srgbClr val="FFFFFF"/>
      </a:lt1>
      <a:dk2>
        <a:srgbClr val="5B6770"/>
      </a:dk2>
      <a:lt2>
        <a:srgbClr val="E6EBF0"/>
      </a:lt2>
      <a:accent1>
        <a:srgbClr val="00AEC7"/>
      </a:accent1>
      <a:accent2>
        <a:srgbClr val="7C858C"/>
      </a:accent2>
      <a:accent3>
        <a:srgbClr val="26D07C"/>
      </a:accent3>
      <a:accent4>
        <a:srgbClr val="003865"/>
      </a:accent4>
      <a:accent5>
        <a:srgbClr val="685BC7"/>
      </a:accent5>
      <a:accent6>
        <a:srgbClr val="1F8B9D"/>
      </a:accent6>
      <a:hlink>
        <a:srgbClr val="0063B4"/>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Extreme Shadow">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6F78F0F47A9247AD375CCF123806DD" ma:contentTypeVersion="3" ma:contentTypeDescription="Create a new document." ma:contentTypeScope="" ma:versionID="45d059f91e8ec81c19219b1f4a0a2112">
  <xsd:schema xmlns:xsd="http://www.w3.org/2001/XMLSchema" xmlns:xs="http://www.w3.org/2001/XMLSchema" xmlns:p="http://schemas.microsoft.com/office/2006/metadata/properties" xmlns:ns2="b9c966e8-d31f-418a-9299-a262be40f2e8" targetNamespace="http://schemas.microsoft.com/office/2006/metadata/properties" ma:root="true" ma:fieldsID="653ee889c9e7d5dedd74a1fd0d65966b" ns2:_="">
    <xsd:import namespace="b9c966e8-d31f-418a-9299-a262be40f2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966e8-d31f-418a-9299-a262be40f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BAB572-5387-4095-96A7-596A2AA557D5}">
  <ds:schemaRefs>
    <ds:schemaRef ds:uri="http://schemas.microsoft.com/sharepoint/v3/contenttype/forms"/>
  </ds:schemaRefs>
</ds:datastoreItem>
</file>

<file path=customXml/itemProps3.xml><?xml version="1.0" encoding="utf-8"?>
<ds:datastoreItem xmlns:ds="http://schemas.openxmlformats.org/officeDocument/2006/customXml" ds:itemID="{7211C3DE-9B0E-46A1-AC4B-3A65C5135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966e8-d31f-418a-9299-a262be40f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841452-DC51-40B6-BC4E-882612FB6259}">
  <ds:schemaRefs>
    <ds:schemaRef ds:uri="http://schemas.openxmlformats.org/officeDocument/2006/bibliography"/>
  </ds:schemaRefs>
</ds:datastoreItem>
</file>

<file path=customXml/itemProps5.xml><?xml version="1.0" encoding="utf-8"?>
<ds:datastoreItem xmlns:ds="http://schemas.openxmlformats.org/officeDocument/2006/customXml" ds:itemID="{88F7D5FA-0409-4CC2-A5CC-7E20EB258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Board Decision Template &amp; Resolution - Public (1)</Template>
  <TotalTime>7</TotalTime>
  <Pages>6</Pages>
  <Words>1638</Words>
  <Characters>9822</Characters>
  <Application>Microsoft Office Word</Application>
  <DocSecurity>0</DocSecurity>
  <Lines>212</Lines>
  <Paragraphs>89</Paragraphs>
  <ScaleCrop>false</ScaleCrop>
  <HeadingPairs>
    <vt:vector size="2" baseType="variant">
      <vt:variant>
        <vt:lpstr>Title</vt:lpstr>
      </vt:variant>
      <vt:variant>
        <vt:i4>1</vt:i4>
      </vt:variant>
    </vt:vector>
  </HeadingPairs>
  <TitlesOfParts>
    <vt:vector size="1" baseType="lpstr">
      <vt:lpstr>ERCOT Board Decision Template</vt:lpstr>
    </vt:vector>
  </TitlesOfParts>
  <Company>ERCOT</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Board Decision Template</dc:title>
  <dc:subject>Board Decision Template</dc:subject>
  <dc:creator>Ann Shang Boren</dc:creator>
  <cp:keywords/>
  <cp:lastModifiedBy>Kim Rainwater</cp:lastModifiedBy>
  <cp:revision>3</cp:revision>
  <dcterms:created xsi:type="dcterms:W3CDTF">2026-05-22T18:39:00Z</dcterms:created>
  <dcterms:modified xsi:type="dcterms:W3CDTF">2026-05-22T19:07:00Z</dcterms:modified>
  <cp:category>BOD Tempate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0x0101006E6F78F0F47A9247AD375CCF123806DD</vt:lpwstr>
  </property>
  <property fmtid="{D5CDD505-2E9C-101B-9397-08002B2CF9AE}" pid="3" name="MSIP_Label_c144db1d-993e-40da-980d-6eea152adc50_Enabled">
    <vt:lpwstr>true</vt:lpwstr>
  </property>
  <property fmtid="{D5CDD505-2E9C-101B-9397-08002B2CF9AE}" pid="4" name="MSIP_Label_c144db1d-993e-40da-980d-6eea152adc50_SetDate">
    <vt:lpwstr>2025-04-23T15:48:36Z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95fdf3fb-6b3c-4eca-9aed-ed23ec6fe40c</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y fmtid="{D5CDD505-2E9C-101B-9397-08002B2CF9AE}" pid="11" name="MediaServiceImageTags">
    <vt:lpwstr/>
  </property>
  <property fmtid="{D5CDD505-2E9C-101B-9397-08002B2CF9AE}" pid="12" name="Year">
    <vt:lpwstr>Choice 5</vt:lpwstr>
  </property>
</Properties>
</file>